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74422" w:rsidRPr="002E00D7" w:rsidRDefault="0020536C" w:rsidP="001B7BE5">
      <w:pPr>
        <w:jc w:val="left"/>
        <w:rPr>
          <w:rFonts w:ascii="Calibri" w:hAnsi="Calibri" w:cs="Calibri"/>
          <w:sz w:val="22"/>
          <w:szCs w:val="22"/>
          <w:lang w:eastAsia="de-DE"/>
        </w:rPr>
      </w:pPr>
      <w:r w:rsidRPr="002E00D7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Das Labor ist häufig ein Schnittstellenbereich zwischen internen und externen Dienstleistungen. Der Begriff „Labor“ wird sowohl für den Bereich der Blutabnahme in der Praxis als auch für das universitäre High-Tech Labor genutzt. </w:t>
      </w:r>
      <w:r w:rsidR="000F075E" w:rsidRPr="002E00D7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>Maßnahmen zur Ressourcenoptimierung</w:t>
      </w:r>
      <w:r w:rsidRPr="002E00D7">
        <w:rPr>
          <w:rFonts w:ascii="Calibri" w:hAnsi="Calibri"/>
          <w:color w:val="333333"/>
          <w:kern w:val="0"/>
          <w:sz w:val="22"/>
          <w:szCs w:val="22"/>
          <w:shd w:val="clear" w:color="auto" w:fill="FFFFFF"/>
          <w:lang w:eastAsia="de-DE"/>
        </w:rPr>
        <w:t xml:space="preserve"> betreffen somit verschiedenste Bereiche, die je nach Art des Labors einen anderen Stellenwert haben und je nach Art des Labors interne oder externe Prozessänderungen bedeuten. </w:t>
      </w:r>
    </w:p>
    <w:p w:rsidR="003A369C" w:rsidRPr="0046700E" w:rsidRDefault="003A369C" w:rsidP="005C740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7655"/>
        <w:gridCol w:w="1358"/>
        <w:gridCol w:w="993"/>
      </w:tblGrid>
      <w:tr w:rsidR="00986821" w:rsidRPr="0046700E" w:rsidTr="000F075E">
        <w:tc>
          <w:tcPr>
            <w:tcW w:w="4786" w:type="dxa"/>
            <w:shd w:val="clear" w:color="auto" w:fill="D9D9D9" w:themeFill="background1" w:themeFillShade="D9"/>
          </w:tcPr>
          <w:p w:rsidR="00986821" w:rsidRPr="0046700E" w:rsidRDefault="00986821" w:rsidP="00F061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700E">
              <w:rPr>
                <w:rFonts w:ascii="Calibri" w:hAnsi="Calibri" w:cs="Calibri"/>
                <w:b/>
                <w:sz w:val="22"/>
                <w:szCs w:val="22"/>
              </w:rPr>
              <w:t>Maßnahme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986821" w:rsidRPr="0046700E" w:rsidRDefault="00986821" w:rsidP="00F061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Bemerkungen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986821" w:rsidRPr="0046700E" w:rsidRDefault="00986821" w:rsidP="00F061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700E">
              <w:rPr>
                <w:rFonts w:ascii="Calibri" w:hAnsi="Calibri" w:cs="Calibri"/>
                <w:b/>
                <w:sz w:val="22"/>
                <w:szCs w:val="22"/>
              </w:rPr>
              <w:t>Umstellung</w:t>
            </w:r>
          </w:p>
          <w:p w:rsidR="00986821" w:rsidRDefault="00986821" w:rsidP="00F061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700E">
              <w:rPr>
                <w:rFonts w:ascii="Calibri" w:hAnsi="Calibri" w:cs="Calibri"/>
                <w:b/>
                <w:sz w:val="22"/>
                <w:szCs w:val="22"/>
              </w:rPr>
              <w:t>möglich?</w:t>
            </w:r>
          </w:p>
          <w:p w:rsidR="002E00D7" w:rsidRPr="0046700E" w:rsidRDefault="002E00D7" w:rsidP="00F061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Ja/nein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86821" w:rsidRPr="0046700E" w:rsidRDefault="00986821" w:rsidP="00F061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700E">
              <w:rPr>
                <w:rFonts w:ascii="Calibri" w:hAnsi="Calibri" w:cs="Calibri"/>
                <w:b/>
                <w:sz w:val="22"/>
                <w:szCs w:val="22"/>
              </w:rPr>
              <w:t>erledigt</w:t>
            </w:r>
          </w:p>
        </w:tc>
      </w:tr>
      <w:tr w:rsidR="00986821" w:rsidRPr="0046700E" w:rsidTr="000F075E">
        <w:tc>
          <w:tcPr>
            <w:tcW w:w="4786" w:type="dxa"/>
            <w:shd w:val="clear" w:color="auto" w:fill="F2F2F2" w:themeFill="background1" w:themeFillShade="F2"/>
          </w:tcPr>
          <w:p w:rsidR="00986821" w:rsidRPr="002E00D7" w:rsidRDefault="00986821" w:rsidP="00291F2D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Alle Laborbereiche (u.a. ambulante Praxis, Krankenhaus, Laborketten)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:rsidR="00986821" w:rsidRPr="002E00D7" w:rsidRDefault="00986821" w:rsidP="009F70FC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</w:tcPr>
          <w:p w:rsidR="00986821" w:rsidRPr="002E00D7" w:rsidRDefault="00986821" w:rsidP="009F70F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986821" w:rsidRPr="009F70FC" w:rsidRDefault="00986821" w:rsidP="009F70F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6821" w:rsidRPr="0046700E" w:rsidTr="005E2426">
        <w:tc>
          <w:tcPr>
            <w:tcW w:w="4786" w:type="dxa"/>
            <w:shd w:val="clear" w:color="auto" w:fill="auto"/>
          </w:tcPr>
          <w:p w:rsidR="005E2426" w:rsidRPr="002E00D7" w:rsidRDefault="005E2426" w:rsidP="009F70F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Transportwege vermeiden</w:t>
            </w:r>
          </w:p>
          <w:p w:rsidR="00986821" w:rsidRPr="002E00D7" w:rsidRDefault="00986821" w:rsidP="009F70F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5E2426" w:rsidRPr="002E00D7" w:rsidRDefault="005E2426" w:rsidP="00291F2D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Lieferungen bündeln, um unnötige Fahrten zu vermeiden</w:t>
            </w:r>
          </w:p>
          <w:p w:rsidR="00986821" w:rsidRPr="002E00D7" w:rsidRDefault="000F075E" w:rsidP="00291F2D">
            <w:pPr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Prüfen</w:t>
            </w:r>
            <w:r w:rsidR="00986821"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, ob 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mehrmals</w:t>
            </w:r>
            <w:r w:rsidR="00986821"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tägliche Abholung 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von</w:t>
            </w:r>
            <w:r w:rsidR="00986821"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Proben erforderlich ist</w:t>
            </w:r>
          </w:p>
        </w:tc>
        <w:tc>
          <w:tcPr>
            <w:tcW w:w="1358" w:type="dxa"/>
            <w:shd w:val="clear" w:color="auto" w:fill="auto"/>
          </w:tcPr>
          <w:p w:rsidR="00986821" w:rsidRPr="002E00D7" w:rsidRDefault="00986821" w:rsidP="009F70F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86821" w:rsidRPr="009F70FC" w:rsidRDefault="00986821" w:rsidP="009F70F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6821" w:rsidRPr="0046700E" w:rsidTr="005E2426">
        <w:tc>
          <w:tcPr>
            <w:tcW w:w="4786" w:type="dxa"/>
            <w:shd w:val="clear" w:color="auto" w:fill="auto"/>
          </w:tcPr>
          <w:p w:rsidR="00986821" w:rsidRPr="002E00D7" w:rsidRDefault="005E2426" w:rsidP="009F70F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Lagerkapazitäten bestmöglich nutzen</w:t>
            </w:r>
          </w:p>
        </w:tc>
        <w:tc>
          <w:tcPr>
            <w:tcW w:w="7655" w:type="dxa"/>
            <w:shd w:val="clear" w:color="auto" w:fill="auto"/>
          </w:tcPr>
          <w:p w:rsidR="005E2426" w:rsidRPr="002E00D7" w:rsidRDefault="005E2426" w:rsidP="0073071D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Bestellungen digital verwalten </w:t>
            </w:r>
          </w:p>
          <w:p w:rsidR="00986821" w:rsidRPr="002E00D7" w:rsidRDefault="005E2426" w:rsidP="0073071D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vorausschauend planen</w:t>
            </w:r>
          </w:p>
          <w:p w:rsidR="005E2426" w:rsidRPr="002E00D7" w:rsidRDefault="005E2426" w:rsidP="0073071D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Lagerung nach dem Prinzip „</w:t>
            </w:r>
            <w:proofErr w:type="spellStart"/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first</w:t>
            </w:r>
            <w:proofErr w:type="spellEnd"/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in-first out“</w:t>
            </w:r>
          </w:p>
        </w:tc>
        <w:tc>
          <w:tcPr>
            <w:tcW w:w="1358" w:type="dxa"/>
            <w:shd w:val="clear" w:color="auto" w:fill="auto"/>
          </w:tcPr>
          <w:p w:rsidR="00986821" w:rsidRPr="002E00D7" w:rsidRDefault="00986821" w:rsidP="009F70F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86821" w:rsidRPr="009F70FC" w:rsidRDefault="00986821" w:rsidP="009F70F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73071D" w:rsidRPr="002E00D7" w:rsidRDefault="0073071D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Verpackungen minimieren</w:t>
            </w:r>
          </w:p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73071D" w:rsidRPr="002E00D7" w:rsidRDefault="0073071D" w:rsidP="0073071D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Alle Verpackungen auf Änderungspotential überprüfen</w:t>
            </w:r>
          </w:p>
          <w:p w:rsidR="005E2426" w:rsidRPr="002E00D7" w:rsidRDefault="00DB6144" w:rsidP="0073071D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Kontakt zur Industrie </w:t>
            </w:r>
            <w:r w:rsidR="005E2426" w:rsidRPr="002E00D7">
              <w:rPr>
                <w:rFonts w:asciiTheme="minorHAnsi" w:hAnsiTheme="minorHAnsi" w:cstheme="minorHAnsi"/>
                <w:sz w:val="20"/>
                <w:szCs w:val="20"/>
              </w:rPr>
              <w:t>aufnehmen</w:t>
            </w:r>
            <w:r w:rsidR="0073071D"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F075E" w:rsidRPr="002E00D7">
              <w:rPr>
                <w:rFonts w:asciiTheme="minorHAnsi" w:hAnsiTheme="minorHAnsi" w:cstheme="minorHAnsi"/>
                <w:sz w:val="20"/>
                <w:szCs w:val="20"/>
              </w:rPr>
              <w:t>ideal</w:t>
            </w:r>
            <w:r w:rsidR="005E2426"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mit Foto und Änderungsvorschlag</w:t>
            </w:r>
            <w:r w:rsidR="0073071D" w:rsidRPr="002E00D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73071D" w:rsidRPr="002E00D7" w:rsidRDefault="0073071D" w:rsidP="0073071D">
            <w:pPr>
              <w:numPr>
                <w:ilvl w:val="0"/>
                <w:numId w:val="13"/>
              </w:numPr>
              <w:spacing w:before="100" w:beforeAutospacing="1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Umstellung </w:t>
            </w:r>
            <w:r w:rsidR="000F075E" w:rsidRPr="002E00D7">
              <w:rPr>
                <w:rFonts w:asciiTheme="minorHAnsi" w:hAnsiTheme="minorHAnsi" w:cstheme="minorHAnsi"/>
                <w:sz w:val="20"/>
                <w:szCs w:val="20"/>
              </w:rPr>
              <w:t>auf plastikfreie Alternativen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überprüfen</w:t>
            </w:r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73071D" w:rsidRPr="002E00D7" w:rsidRDefault="0073071D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Überdiagnostik vermeiden</w:t>
            </w:r>
          </w:p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73071D" w:rsidRPr="002E00D7" w:rsidRDefault="0073071D" w:rsidP="0073071D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Laboranforderungen kritisch hinterfragen</w:t>
            </w:r>
          </w:p>
          <w:p w:rsidR="0073071D" w:rsidRPr="002E00D7" w:rsidRDefault="0073071D" w:rsidP="0073071D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Digitale Popups etablieren (z.B. Achtung: TSH bereits gestern bestimmt)</w:t>
            </w:r>
          </w:p>
          <w:p w:rsidR="0073071D" w:rsidRPr="002E00D7" w:rsidRDefault="005E2426" w:rsidP="0073071D">
            <w:pPr>
              <w:numPr>
                <w:ilvl w:val="0"/>
                <w:numId w:val="1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Kosten der einzelnen Laboranforderungen </w:t>
            </w:r>
            <w:r w:rsidR="0073071D" w:rsidRPr="002E00D7">
              <w:rPr>
                <w:rFonts w:asciiTheme="minorHAnsi" w:hAnsiTheme="minorHAnsi" w:cstheme="minorHAnsi"/>
                <w:sz w:val="20"/>
                <w:szCs w:val="20"/>
              </w:rPr>
              <w:t>kommunizieren</w:t>
            </w:r>
          </w:p>
          <w:p w:rsidR="0073071D" w:rsidRPr="002E00D7" w:rsidRDefault="005E2426" w:rsidP="0073071D">
            <w:pPr>
              <w:numPr>
                <w:ilvl w:val="0"/>
                <w:numId w:val="1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Mitarbeiter</w:t>
            </w:r>
            <w:r w:rsidR="00B52FD5"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und Mitarbeiterinnen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5F3D" w:rsidRPr="002E00D7">
              <w:rPr>
                <w:rFonts w:asciiTheme="minorHAnsi" w:hAnsiTheme="minorHAnsi" w:cstheme="minorHAnsi"/>
                <w:sz w:val="20"/>
                <w:szCs w:val="20"/>
              </w:rPr>
              <w:t>in der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Interpretation der Laborparameter </w:t>
            </w:r>
            <w:r w:rsidR="00575F3D" w:rsidRPr="002E00D7">
              <w:rPr>
                <w:rFonts w:asciiTheme="minorHAnsi" w:hAnsiTheme="minorHAnsi" w:cstheme="minorHAnsi"/>
                <w:sz w:val="20"/>
                <w:szCs w:val="20"/>
              </w:rPr>
              <w:t>schulen</w:t>
            </w:r>
          </w:p>
          <w:p w:rsidR="005E2426" w:rsidRPr="002E00D7" w:rsidRDefault="005E2426" w:rsidP="0073071D">
            <w:pPr>
              <w:numPr>
                <w:ilvl w:val="0"/>
                <w:numId w:val="1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Austausch zwischen Labor und anfordernden Ärzten und Ärztinnen fördern</w:t>
            </w:r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5E2426" w:rsidRPr="002E00D7" w:rsidRDefault="00575F3D" w:rsidP="00096E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Energie </w:t>
            </w:r>
          </w:p>
        </w:tc>
        <w:tc>
          <w:tcPr>
            <w:tcW w:w="7655" w:type="dxa"/>
            <w:shd w:val="clear" w:color="auto" w:fill="auto"/>
          </w:tcPr>
          <w:p w:rsidR="005E2426" w:rsidRPr="002E00D7" w:rsidRDefault="00575F3D" w:rsidP="006A69C2">
            <w:pPr>
              <w:numPr>
                <w:ilvl w:val="0"/>
                <w:numId w:val="15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Elektrische Geräte wie Kühlschränke auf Energieeffizienz überprüfen und ggf. austauschen</w:t>
            </w:r>
          </w:p>
          <w:p w:rsidR="000F075E" w:rsidRPr="002E00D7" w:rsidRDefault="00575F3D" w:rsidP="006A69C2">
            <w:pPr>
              <w:numPr>
                <w:ilvl w:val="0"/>
                <w:numId w:val="15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Fördermöglichkeiten für energieeffiziente Elektrogeräte (u.a. für Vereine, Kommunen): </w:t>
            </w:r>
          </w:p>
          <w:p w:rsidR="000F075E" w:rsidRPr="002E00D7" w:rsidRDefault="00B51150" w:rsidP="000F075E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0F075E" w:rsidRPr="002E00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https://www.klimaschutz.de/de/foerderung-der-nki/foerderkompass</w:t>
              </w:r>
            </w:hyperlink>
          </w:p>
          <w:p w:rsidR="00575F3D" w:rsidRPr="002E00D7" w:rsidRDefault="00575F3D" w:rsidP="00575F3D">
            <w:pPr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Strombezug auf erneuerbare Energien umstellen</w:t>
            </w:r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Lieferketten überprüfen </w:t>
            </w:r>
          </w:p>
        </w:tc>
        <w:tc>
          <w:tcPr>
            <w:tcW w:w="7655" w:type="dxa"/>
            <w:shd w:val="clear" w:color="auto" w:fill="auto"/>
          </w:tcPr>
          <w:p w:rsidR="005E2426" w:rsidRPr="002E00D7" w:rsidRDefault="00575F3D" w:rsidP="00575F3D">
            <w:pPr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Materialien (</w:t>
            </w:r>
            <w:r w:rsidR="00291F2D" w:rsidRPr="002E00D7">
              <w:rPr>
                <w:rFonts w:asciiTheme="minorHAnsi" w:hAnsiTheme="minorHAnsi" w:cstheme="minorHAnsi"/>
                <w:sz w:val="20"/>
                <w:szCs w:val="20"/>
              </w:rPr>
              <w:t>z.B.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Handschuhe) nach Möglichkeit praxisnah</w:t>
            </w:r>
            <w:r w:rsidR="00755120"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beziehen</w:t>
            </w:r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Digitalisierung</w:t>
            </w:r>
          </w:p>
        </w:tc>
        <w:tc>
          <w:tcPr>
            <w:tcW w:w="7655" w:type="dxa"/>
            <w:shd w:val="clear" w:color="auto" w:fill="auto"/>
          </w:tcPr>
          <w:p w:rsidR="005E2426" w:rsidRPr="002E00D7" w:rsidRDefault="00575F3D" w:rsidP="00575F3D">
            <w:pPr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Laborausdrucke abschaffen </w:t>
            </w:r>
          </w:p>
          <w:p w:rsidR="005B24FA" w:rsidRPr="002E00D7" w:rsidRDefault="005E77BD" w:rsidP="005E77BD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Sichere </w:t>
            </w:r>
            <w:r w:rsidR="005B24FA" w:rsidRPr="002E00D7">
              <w:rPr>
                <w:rFonts w:asciiTheme="minorHAnsi" w:hAnsiTheme="minorHAnsi" w:cstheme="minorHAnsi"/>
                <w:sz w:val="20"/>
                <w:szCs w:val="20"/>
              </w:rPr>
              <w:t>Befundübermittlung ausschließlich per Datenfernübertragung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einrichten</w:t>
            </w:r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575F3D" w:rsidRPr="002E00D7" w:rsidRDefault="00575F3D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Netzwerke bilden/</w:t>
            </w:r>
          </w:p>
          <w:p w:rsidR="00575F3D" w:rsidRPr="002E00D7" w:rsidRDefault="00B72871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575F3D" w:rsidRPr="002E00D7">
              <w:rPr>
                <w:rFonts w:asciiTheme="minorHAnsi" w:hAnsiTheme="minorHAnsi" w:cstheme="minorHAnsi"/>
                <w:sz w:val="20"/>
                <w:szCs w:val="20"/>
              </w:rPr>
              <w:t>estehenden Netzwerken beitreten</w:t>
            </w:r>
          </w:p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575F3D" w:rsidRPr="002E00D7" w:rsidRDefault="00575F3D" w:rsidP="00575F3D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Arbeitsgemeinschaft „</w:t>
            </w:r>
            <w:r w:rsidR="000F075E" w:rsidRPr="002E00D7">
              <w:rPr>
                <w:rFonts w:asciiTheme="minorHAnsi" w:hAnsiTheme="minorHAnsi" w:cstheme="minorHAnsi"/>
                <w:sz w:val="20"/>
                <w:szCs w:val="20"/>
              </w:rPr>
              <w:t>Ressourcenoptimierung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im Labor“ initiieren </w:t>
            </w:r>
          </w:p>
          <w:p w:rsidR="005E2426" w:rsidRPr="002E00D7" w:rsidRDefault="00575F3D" w:rsidP="00575F3D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Positionspapier mit Handlungsempfehlungen erstellen</w:t>
            </w:r>
          </w:p>
          <w:p w:rsidR="00575F3D" w:rsidRPr="002E00D7" w:rsidRDefault="00575F3D" w:rsidP="00575F3D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Austausch zwischen Industrie und Anwender</w:t>
            </w:r>
            <w:r w:rsidR="00DB6144" w:rsidRPr="002E00D7">
              <w:rPr>
                <w:rFonts w:asciiTheme="minorHAnsi" w:hAnsiTheme="minorHAnsi" w:cstheme="minorHAnsi"/>
                <w:sz w:val="20"/>
                <w:szCs w:val="20"/>
              </w:rPr>
              <w:t>n und Anwenderinnen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intensivieren </w:t>
            </w:r>
          </w:p>
          <w:p w:rsidR="00E40760" w:rsidRPr="002E00D7" w:rsidRDefault="00096E14" w:rsidP="00096E14">
            <w:pPr>
              <w:numPr>
                <w:ilvl w:val="1"/>
                <w:numId w:val="16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ZUKE-Netzwerk: </w:t>
            </w:r>
            <w:hyperlink r:id="rId9" w:history="1">
              <w:r w:rsidR="00E40760" w:rsidRPr="002E00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https://zuke-green.de/KLUG-Netzwerk</w:t>
              </w:r>
            </w:hyperlink>
          </w:p>
          <w:p w:rsidR="00575F3D" w:rsidRPr="002E00D7" w:rsidRDefault="00D54B56" w:rsidP="0044700F">
            <w:pPr>
              <w:numPr>
                <w:ilvl w:val="1"/>
                <w:numId w:val="16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MedTecOnline</w:t>
            </w:r>
            <w:proofErr w:type="spellEnd"/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10" w:history="1">
              <w:r w:rsidRPr="002E00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https://medteconline.de/</w:t>
              </w:r>
            </w:hyperlink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E67253" w:rsidRPr="002E00D7" w:rsidRDefault="00E67253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Praxismanagement</w:t>
            </w:r>
          </w:p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5E2426" w:rsidRPr="002E00D7" w:rsidRDefault="00E67253" w:rsidP="00E67253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Klimama</w:t>
            </w:r>
            <w:r w:rsidR="00DB6144" w:rsidRPr="002E00D7">
              <w:rPr>
                <w:rFonts w:asciiTheme="minorHAnsi" w:hAnsiTheme="minorHAnsi" w:cstheme="minorHAnsi"/>
                <w:sz w:val="20"/>
                <w:szCs w:val="20"/>
              </w:rPr>
              <w:t>nager</w:t>
            </w:r>
            <w:r w:rsidR="0044700F" w:rsidRPr="002E00D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B6144"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Klimamanagerinnen</w:t>
            </w: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700F" w:rsidRPr="002E00D7">
              <w:rPr>
                <w:rFonts w:asciiTheme="minorHAnsi" w:hAnsiTheme="minorHAnsi" w:cstheme="minorHAnsi"/>
                <w:sz w:val="20"/>
                <w:szCs w:val="20"/>
              </w:rPr>
              <w:t>implementieren</w:t>
            </w:r>
          </w:p>
          <w:p w:rsidR="00E67253" w:rsidRPr="002E00D7" w:rsidRDefault="00E67253" w:rsidP="00E67253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Nachhaltigkeitsbeauftrage für das Labor benennen</w:t>
            </w:r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D9D9D9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Analysierende Labore</w:t>
            </w:r>
          </w:p>
        </w:tc>
        <w:tc>
          <w:tcPr>
            <w:tcW w:w="7655" w:type="dxa"/>
            <w:shd w:val="clear" w:color="auto" w:fill="D9D9D9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D9D9D9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5E2426" w:rsidRPr="002E00D7" w:rsidRDefault="00B72871" w:rsidP="00B7287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Ressourcen und Verpackung sparen</w:t>
            </w:r>
            <w:r w:rsidR="00B52FD5" w:rsidRPr="002E00D7">
              <w:rPr>
                <w:rFonts w:asciiTheme="minorHAnsi" w:hAnsiTheme="minorHAnsi" w:cstheme="minorHAnsi"/>
                <w:sz w:val="20"/>
                <w:szCs w:val="20"/>
              </w:rPr>
              <w:t>/recyceln</w:t>
            </w:r>
          </w:p>
        </w:tc>
        <w:tc>
          <w:tcPr>
            <w:tcW w:w="7655" w:type="dxa"/>
            <w:shd w:val="clear" w:color="auto" w:fill="auto"/>
          </w:tcPr>
          <w:p w:rsidR="005E2426" w:rsidRPr="002E00D7" w:rsidRDefault="00B72871" w:rsidP="00B72871">
            <w:pPr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Wenn praktisch und ökonomisch umsetzbar: Konzentrate nutzen</w:t>
            </w:r>
          </w:p>
          <w:p w:rsidR="00096E14" w:rsidRPr="002E00D7" w:rsidRDefault="00096E14" w:rsidP="00096E14">
            <w:pPr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Recycling anbieten</w:t>
            </w:r>
          </w:p>
          <w:p w:rsidR="00B72871" w:rsidRPr="002E00D7" w:rsidRDefault="00B72871" w:rsidP="00B72871">
            <w:pPr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Systeme für Pipettenspitzen nutzen, die weniger Plastikmüll produzieren</w:t>
            </w:r>
          </w:p>
          <w:p w:rsidR="00096E14" w:rsidRPr="002E00D7" w:rsidRDefault="00096E14" w:rsidP="00096E14">
            <w:pPr>
              <w:numPr>
                <w:ilvl w:val="1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Z.B. </w:t>
            </w:r>
            <w:hyperlink r:id="rId11" w:history="1">
              <w:r w:rsidRPr="002E00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https://refillrevolution.sarstedt.com/</w:t>
              </w:r>
            </w:hyperlink>
          </w:p>
          <w:p w:rsidR="00B72871" w:rsidRPr="002E00D7" w:rsidRDefault="00B72871" w:rsidP="009B4A7A">
            <w:pPr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Pipettenspitzen (wenn möglich) wiederaufbereiten</w:t>
            </w:r>
          </w:p>
          <w:p w:rsidR="00B72871" w:rsidRPr="002E00D7" w:rsidRDefault="00096E14" w:rsidP="00096E14">
            <w:pPr>
              <w:numPr>
                <w:ilvl w:val="1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Z.B </w:t>
            </w:r>
            <w:hyperlink r:id="rId12" w:history="1">
              <w:r w:rsidR="0044700F" w:rsidRPr="002E00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https://grenova.com/</w:t>
              </w:r>
            </w:hyperlink>
          </w:p>
          <w:p w:rsidR="00E74422" w:rsidRPr="002E00D7" w:rsidRDefault="00755120" w:rsidP="00755120">
            <w:pPr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In Abwurfbehälter nur Kanülen und andere scharfe Bestecke wie Klingen oder Küretten werfen, keine Einwegspritzen aus Kunststoff!</w:t>
            </w:r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5E2426" w:rsidRPr="002E00D7" w:rsidRDefault="00B72871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Digitalisierung</w:t>
            </w:r>
          </w:p>
        </w:tc>
        <w:tc>
          <w:tcPr>
            <w:tcW w:w="7655" w:type="dxa"/>
            <w:shd w:val="clear" w:color="auto" w:fill="auto"/>
          </w:tcPr>
          <w:p w:rsidR="005E2426" w:rsidRPr="002E00D7" w:rsidRDefault="00B72871" w:rsidP="00B72871">
            <w:pPr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Reparaturleistungen digital ermöglichen</w:t>
            </w:r>
            <w:r w:rsidR="005E571B" w:rsidRPr="002E00D7">
              <w:rPr>
                <w:rFonts w:asciiTheme="minorHAnsi" w:hAnsiTheme="minorHAnsi" w:cstheme="minorHAnsi"/>
                <w:sz w:val="20"/>
                <w:szCs w:val="20"/>
              </w:rPr>
              <w:t>, um Transportwege zu vermeiden</w:t>
            </w:r>
          </w:p>
          <w:p w:rsidR="00E74422" w:rsidRPr="002E00D7" w:rsidRDefault="00E74422" w:rsidP="00B72871">
            <w:pPr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Befundübermittlung auf ausschließliche Datenfernübertragung einrichten</w:t>
            </w:r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D9D9D9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Hersteller für Laborbedarf</w:t>
            </w:r>
          </w:p>
        </w:tc>
        <w:tc>
          <w:tcPr>
            <w:tcW w:w="7655" w:type="dxa"/>
            <w:shd w:val="clear" w:color="auto" w:fill="D9D9D9"/>
          </w:tcPr>
          <w:p w:rsidR="005E2426" w:rsidRPr="002E00D7" w:rsidRDefault="005E2426" w:rsidP="005E2426">
            <w:pPr>
              <w:spacing w:before="100" w:beforeAutospacing="1" w:after="100" w:afterAutospacing="1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D9D9D9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426" w:rsidRPr="0046700E" w:rsidTr="005E2426">
        <w:tc>
          <w:tcPr>
            <w:tcW w:w="4786" w:type="dxa"/>
            <w:shd w:val="clear" w:color="auto" w:fill="auto"/>
          </w:tcPr>
          <w:p w:rsidR="00B72871" w:rsidRPr="002E00D7" w:rsidRDefault="00B72871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Ressourcen und Verpackung sparen</w:t>
            </w:r>
          </w:p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5E2426" w:rsidRPr="002E00D7" w:rsidRDefault="00B72871" w:rsidP="005B24FA">
            <w:pPr>
              <w:numPr>
                <w:ilvl w:val="0"/>
                <w:numId w:val="19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>Erfordernisse der zirkulären Kreislaufwirtschaft bei der Produktion berücksichtigen</w:t>
            </w:r>
          </w:p>
          <w:p w:rsidR="00B52FD5" w:rsidRPr="002E00D7" w:rsidRDefault="00B52FD5" w:rsidP="00B52FD5">
            <w:pPr>
              <w:numPr>
                <w:ilvl w:val="1"/>
                <w:numId w:val="19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00D7">
              <w:rPr>
                <w:rFonts w:asciiTheme="minorHAnsi" w:hAnsiTheme="minorHAnsi" w:cstheme="minorHAnsi"/>
                <w:sz w:val="20"/>
                <w:szCs w:val="20"/>
              </w:rPr>
              <w:t xml:space="preserve">Fördermöglichkeiten z.B. </w:t>
            </w:r>
            <w:hyperlink r:id="rId13" w:history="1">
              <w:r w:rsidRPr="002E00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https://www.dbu.de/foerderung/</w:t>
              </w:r>
            </w:hyperlink>
          </w:p>
        </w:tc>
        <w:tc>
          <w:tcPr>
            <w:tcW w:w="1358" w:type="dxa"/>
            <w:shd w:val="clear" w:color="auto" w:fill="auto"/>
          </w:tcPr>
          <w:p w:rsidR="005E2426" w:rsidRPr="002E00D7" w:rsidRDefault="005E2426" w:rsidP="005E242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2426" w:rsidRPr="009F70FC" w:rsidRDefault="005E2426" w:rsidP="005E2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56DD8" w:rsidRPr="0046700E" w:rsidRDefault="00156DD8" w:rsidP="00D43879">
      <w:pPr>
        <w:rPr>
          <w:rFonts w:ascii="Calibri" w:hAnsi="Calibri" w:cs="Calibri"/>
          <w:sz w:val="22"/>
          <w:szCs w:val="22"/>
        </w:rPr>
      </w:pPr>
    </w:p>
    <w:p w:rsidR="00492F1E" w:rsidRPr="0046700E" w:rsidRDefault="00492F1E">
      <w:pPr>
        <w:rPr>
          <w:rFonts w:ascii="Calibri" w:hAnsi="Calibri" w:cs="Calibri"/>
        </w:rPr>
      </w:pPr>
      <w:bookmarkStart w:id="0" w:name="_GoBack"/>
      <w:bookmarkEnd w:id="0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1418"/>
        <w:gridCol w:w="2977"/>
        <w:gridCol w:w="4110"/>
      </w:tblGrid>
      <w:tr w:rsidR="006A69C2" w:rsidRPr="0046700E" w:rsidTr="005F33B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2" w:rsidRPr="002E00D7" w:rsidRDefault="006A69C2" w:rsidP="00FD6C0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E00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Erstellt von: </w:t>
            </w:r>
          </w:p>
          <w:p w:rsidR="006A69C2" w:rsidRPr="002E00D7" w:rsidRDefault="006A69C2" w:rsidP="00FD6C0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E00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Datum: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2" w:rsidRPr="002E00D7" w:rsidRDefault="006A69C2" w:rsidP="00FD6C0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E00D7">
              <w:rPr>
                <w:rFonts w:ascii="Calibri" w:hAnsi="Calibri" w:cs="Calibri"/>
                <w:b/>
                <w:bCs/>
                <w:sz w:val="18"/>
                <w:szCs w:val="18"/>
              </w:rPr>
              <w:t>Geprüft von:</w:t>
            </w:r>
          </w:p>
          <w:p w:rsidR="006A69C2" w:rsidRPr="002E00D7" w:rsidRDefault="006A69C2" w:rsidP="00FD6C0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E00D7">
              <w:rPr>
                <w:rFonts w:ascii="Calibri" w:hAnsi="Calibri" w:cs="Calibri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2" w:rsidRPr="002E00D7" w:rsidRDefault="006A69C2" w:rsidP="00FD6C0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E00D7">
              <w:rPr>
                <w:rFonts w:ascii="Calibri" w:hAnsi="Calibri" w:cs="Calibri"/>
                <w:b/>
                <w:bCs/>
                <w:sz w:val="18"/>
                <w:szCs w:val="18"/>
              </w:rPr>
              <w:t>Version: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2" w:rsidRDefault="006A69C2" w:rsidP="009868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Freigabe von:</w:t>
            </w:r>
          </w:p>
          <w:p w:rsidR="006A69C2" w:rsidRPr="002E00D7" w:rsidRDefault="006A69C2" w:rsidP="009868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2" w:rsidRPr="002E00D7" w:rsidRDefault="006A69C2" w:rsidP="006A69C2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E00D7">
              <w:rPr>
                <w:rFonts w:ascii="Calibri" w:hAnsi="Calibri" w:cs="Calibri"/>
                <w:b/>
                <w:bCs/>
                <w:sz w:val="18"/>
                <w:szCs w:val="18"/>
              </w:rPr>
              <w:t>CL Ressourcenoptimiertes Labor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management</w:t>
            </w:r>
            <w:r w:rsidRPr="002E00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.docx                 </w:t>
            </w:r>
          </w:p>
          <w:p w:rsidR="006A69C2" w:rsidRPr="002E00D7" w:rsidRDefault="006A69C2" w:rsidP="006A69C2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E00D7">
              <w:rPr>
                <w:rFonts w:ascii="Calibri" w:hAnsi="Calibri" w:cs="Calibri"/>
                <w:b/>
                <w:bCs/>
                <w:sz w:val="18"/>
                <w:szCs w:val="18"/>
              </w:rPr>
              <w:t>Seiten:2</w:t>
            </w:r>
          </w:p>
        </w:tc>
      </w:tr>
    </w:tbl>
    <w:p w:rsidR="00CE18F1" w:rsidRPr="002E00D7" w:rsidRDefault="00B72871" w:rsidP="00CE18F1">
      <w:pPr>
        <w:suppressAutoHyphens w:val="0"/>
        <w:jc w:val="left"/>
        <w:rPr>
          <w:rFonts w:ascii="Calibri" w:hAnsi="Calibri" w:cs="Calibri"/>
          <w:kern w:val="0"/>
          <w:sz w:val="16"/>
          <w:szCs w:val="16"/>
          <w:lang w:eastAsia="de-DE"/>
        </w:rPr>
      </w:pPr>
      <w:r w:rsidRPr="002E00D7">
        <w:rPr>
          <w:rFonts w:ascii="Calibri" w:hAnsi="Calibri" w:cs="Calibri"/>
          <w:sz w:val="16"/>
          <w:szCs w:val="16"/>
        </w:rPr>
        <w:t>Version 1.</w:t>
      </w:r>
      <w:r w:rsidR="0044700F" w:rsidRPr="002E00D7">
        <w:rPr>
          <w:rFonts w:ascii="Calibri" w:hAnsi="Calibri" w:cs="Calibri"/>
          <w:sz w:val="16"/>
          <w:szCs w:val="16"/>
        </w:rPr>
        <w:t>2</w:t>
      </w:r>
      <w:r w:rsidRPr="002E00D7">
        <w:rPr>
          <w:rFonts w:ascii="Calibri" w:hAnsi="Calibri" w:cs="Calibri"/>
          <w:sz w:val="16"/>
          <w:szCs w:val="16"/>
        </w:rPr>
        <w:t xml:space="preserve">, </w:t>
      </w:r>
      <w:r w:rsidR="0044700F" w:rsidRPr="002E00D7">
        <w:rPr>
          <w:rFonts w:ascii="Calibri" w:hAnsi="Calibri" w:cs="Calibri"/>
          <w:sz w:val="16"/>
          <w:szCs w:val="16"/>
        </w:rPr>
        <w:t>09.01.26</w:t>
      </w:r>
      <w:r w:rsidRPr="002E00D7">
        <w:rPr>
          <w:rFonts w:ascii="Calibri" w:hAnsi="Calibri" w:cs="Calibri"/>
          <w:sz w:val="16"/>
          <w:szCs w:val="16"/>
        </w:rPr>
        <w:t xml:space="preserve">, </w:t>
      </w:r>
      <w:r w:rsidR="0044700F" w:rsidRPr="002E00D7">
        <w:rPr>
          <w:rFonts w:ascii="Calibri" w:hAnsi="Calibri" w:cs="Calibri"/>
          <w:sz w:val="16"/>
          <w:szCs w:val="16"/>
        </w:rPr>
        <w:t xml:space="preserve">Dr. </w:t>
      </w:r>
      <w:r w:rsidR="006A69C2">
        <w:rPr>
          <w:rFonts w:ascii="Calibri" w:hAnsi="Calibri" w:cs="Calibri"/>
          <w:sz w:val="16"/>
          <w:szCs w:val="16"/>
        </w:rPr>
        <w:t xml:space="preserve">med. </w:t>
      </w:r>
      <w:r w:rsidR="0044700F" w:rsidRPr="002E00D7">
        <w:rPr>
          <w:rFonts w:ascii="Calibri" w:hAnsi="Calibri" w:cs="Calibri"/>
          <w:sz w:val="16"/>
          <w:szCs w:val="16"/>
        </w:rPr>
        <w:t xml:space="preserve">Christina Hecker, </w:t>
      </w:r>
      <w:r w:rsidR="00CE18F1" w:rsidRPr="002E00D7">
        <w:rPr>
          <w:rFonts w:ascii="Calibri" w:hAnsi="Calibri" w:cs="Calibri"/>
          <w:kern w:val="0"/>
          <w:sz w:val="16"/>
          <w:szCs w:val="16"/>
          <w:lang w:eastAsia="de-DE"/>
        </w:rPr>
        <w:t xml:space="preserve">Dr. </w:t>
      </w:r>
      <w:r w:rsidR="006A69C2">
        <w:rPr>
          <w:rFonts w:ascii="Calibri" w:hAnsi="Calibri" w:cs="Calibri"/>
          <w:kern w:val="0"/>
          <w:sz w:val="16"/>
          <w:szCs w:val="16"/>
          <w:lang w:eastAsia="de-DE"/>
        </w:rPr>
        <w:t xml:space="preserve">med. </w:t>
      </w:r>
      <w:r w:rsidR="00CE18F1" w:rsidRPr="002E00D7">
        <w:rPr>
          <w:rFonts w:ascii="Calibri" w:hAnsi="Calibri" w:cs="Calibri"/>
          <w:kern w:val="0"/>
          <w:sz w:val="16"/>
          <w:szCs w:val="16"/>
          <w:lang w:eastAsia="de-DE"/>
        </w:rPr>
        <w:t>Martha Groth</w:t>
      </w:r>
      <w:r w:rsidR="006A69C2">
        <w:rPr>
          <w:rFonts w:ascii="Calibri" w:hAnsi="Calibri" w:cs="Calibri"/>
          <w:kern w:val="0"/>
          <w:sz w:val="16"/>
          <w:szCs w:val="16"/>
          <w:lang w:eastAsia="de-DE"/>
        </w:rPr>
        <w:t xml:space="preserve"> (</w:t>
      </w:r>
      <w:r w:rsidR="000221F4" w:rsidRPr="002E00D7">
        <w:rPr>
          <w:rFonts w:ascii="Calibri" w:hAnsi="Calibri" w:cs="Calibri"/>
          <w:kern w:val="0"/>
          <w:sz w:val="16"/>
          <w:szCs w:val="16"/>
          <w:lang w:eastAsia="de-DE"/>
        </w:rPr>
        <w:t>Luisenhospital Aachen</w:t>
      </w:r>
      <w:r w:rsidR="006A69C2">
        <w:rPr>
          <w:rFonts w:ascii="Calibri" w:hAnsi="Calibri" w:cs="Calibri"/>
          <w:kern w:val="0"/>
          <w:sz w:val="16"/>
          <w:szCs w:val="16"/>
          <w:lang w:eastAsia="de-DE"/>
        </w:rPr>
        <w:t>)</w:t>
      </w:r>
    </w:p>
    <w:p w:rsidR="00A32631" w:rsidRPr="007403D1" w:rsidRDefault="00A32631" w:rsidP="00CE18F1">
      <w:pPr>
        <w:spacing w:line="360" w:lineRule="auto"/>
        <w:ind w:left="357" w:hanging="357"/>
      </w:pPr>
    </w:p>
    <w:sectPr w:rsidR="00A32631" w:rsidRPr="007403D1" w:rsidSect="004E7DDF"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418" w:left="567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150" w:rsidRDefault="00B51150">
      <w:r>
        <w:separator/>
      </w:r>
    </w:p>
  </w:endnote>
  <w:endnote w:type="continuationSeparator" w:id="0">
    <w:p w:rsidR="00B51150" w:rsidRDefault="00B5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0F075E" w:rsidP="00223AC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-207645</wp:posOffset>
              </wp:positionH>
              <wp:positionV relativeFrom="paragraph">
                <wp:posOffset>-708660</wp:posOffset>
              </wp:positionV>
              <wp:extent cx="5829300" cy="0"/>
              <wp:effectExtent l="11430" t="5715" r="762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582C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-55.8pt" to="442.65pt,-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" strokeweight=".26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150" w:rsidRDefault="00B51150">
      <w:r>
        <w:separator/>
      </w:r>
    </w:p>
  </w:footnote>
  <w:footnote w:type="continuationSeparator" w:id="0">
    <w:p w:rsidR="00B51150" w:rsidRDefault="00B5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D316DF" w:rsidRPr="0046700E" w:rsidRDefault="005E2426" w:rsidP="00A2684A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CL </w:t>
          </w:r>
          <w:r w:rsidR="000F075E">
            <w:rPr>
              <w:rFonts w:ascii="Calibri" w:hAnsi="Calibri" w:cs="Calibri"/>
              <w:b/>
              <w:sz w:val="28"/>
              <w:szCs w:val="28"/>
            </w:rPr>
            <w:t>Ressourcenoptimierte</w:t>
          </w:r>
          <w:r w:rsidR="000A516C">
            <w:rPr>
              <w:rFonts w:ascii="Calibri" w:hAnsi="Calibri" w:cs="Calibri"/>
              <w:b/>
              <w:sz w:val="28"/>
              <w:szCs w:val="28"/>
            </w:rPr>
            <w:t>s</w:t>
          </w:r>
          <w:r w:rsidR="00393475">
            <w:rPr>
              <w:rFonts w:ascii="Calibri" w:hAnsi="Calibri" w:cs="Calibri"/>
              <w:b/>
              <w:sz w:val="28"/>
              <w:szCs w:val="28"/>
            </w:rPr>
            <w:t xml:space="preserve"> Labor</w:t>
          </w:r>
          <w:r w:rsidR="000A516C">
            <w:rPr>
              <w:rFonts w:ascii="Calibri" w:hAnsi="Calibri" w:cs="Calibri"/>
              <w:b/>
              <w:sz w:val="28"/>
              <w:szCs w:val="28"/>
            </w:rPr>
            <w:t>management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63663E"/>
    <w:multiLevelType w:val="hybridMultilevel"/>
    <w:tmpl w:val="6C2EC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7CCD"/>
    <w:multiLevelType w:val="hybridMultilevel"/>
    <w:tmpl w:val="C6BCC36E"/>
    <w:lvl w:ilvl="0" w:tplc="4B1E2A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67CC2"/>
    <w:multiLevelType w:val="multilevel"/>
    <w:tmpl w:val="FFE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92A36"/>
    <w:multiLevelType w:val="hybridMultilevel"/>
    <w:tmpl w:val="511E6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A2271"/>
    <w:multiLevelType w:val="hybridMultilevel"/>
    <w:tmpl w:val="25A47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F23"/>
    <w:multiLevelType w:val="hybridMultilevel"/>
    <w:tmpl w:val="49362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F1A9D"/>
    <w:multiLevelType w:val="hybridMultilevel"/>
    <w:tmpl w:val="842E51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F47BE"/>
    <w:multiLevelType w:val="hybridMultilevel"/>
    <w:tmpl w:val="DC4CD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62CD2"/>
    <w:multiLevelType w:val="hybridMultilevel"/>
    <w:tmpl w:val="79A40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C6BF5"/>
    <w:multiLevelType w:val="hybridMultilevel"/>
    <w:tmpl w:val="9A7E5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7208C"/>
    <w:multiLevelType w:val="hybridMultilevel"/>
    <w:tmpl w:val="997C9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27971"/>
    <w:multiLevelType w:val="hybridMultilevel"/>
    <w:tmpl w:val="B9DE2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4E25"/>
    <w:multiLevelType w:val="hybridMultilevel"/>
    <w:tmpl w:val="127A5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7"/>
  </w:num>
  <w:num w:numId="6">
    <w:abstractNumId w:val="6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14"/>
  </w:num>
  <w:num w:numId="12">
    <w:abstractNumId w:val="18"/>
  </w:num>
  <w:num w:numId="13">
    <w:abstractNumId w:val="3"/>
  </w:num>
  <w:num w:numId="14">
    <w:abstractNumId w:val="8"/>
  </w:num>
  <w:num w:numId="15">
    <w:abstractNumId w:val="16"/>
  </w:num>
  <w:num w:numId="16">
    <w:abstractNumId w:val="19"/>
  </w:num>
  <w:num w:numId="17">
    <w:abstractNumId w:val="11"/>
  </w:num>
  <w:num w:numId="18">
    <w:abstractNumId w:val="20"/>
  </w:num>
  <w:num w:numId="19">
    <w:abstractNumId w:val="15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06A6B"/>
    <w:rsid w:val="00021D9D"/>
    <w:rsid w:val="000221F4"/>
    <w:rsid w:val="00024418"/>
    <w:rsid w:val="00036380"/>
    <w:rsid w:val="00045418"/>
    <w:rsid w:val="000506FF"/>
    <w:rsid w:val="000625E0"/>
    <w:rsid w:val="00063AC6"/>
    <w:rsid w:val="00064FDA"/>
    <w:rsid w:val="0008226E"/>
    <w:rsid w:val="00086668"/>
    <w:rsid w:val="00095007"/>
    <w:rsid w:val="00096E14"/>
    <w:rsid w:val="000A4A66"/>
    <w:rsid w:val="000A4FB2"/>
    <w:rsid w:val="000A516C"/>
    <w:rsid w:val="000B188A"/>
    <w:rsid w:val="000D115C"/>
    <w:rsid w:val="000F075E"/>
    <w:rsid w:val="000F3A5E"/>
    <w:rsid w:val="0010320B"/>
    <w:rsid w:val="0013033F"/>
    <w:rsid w:val="001524BB"/>
    <w:rsid w:val="00156DD8"/>
    <w:rsid w:val="00160AF0"/>
    <w:rsid w:val="001644C5"/>
    <w:rsid w:val="00187459"/>
    <w:rsid w:val="001A065F"/>
    <w:rsid w:val="001B24CE"/>
    <w:rsid w:val="001B7BE5"/>
    <w:rsid w:val="001C2588"/>
    <w:rsid w:val="001E790E"/>
    <w:rsid w:val="001F6D0F"/>
    <w:rsid w:val="0020295F"/>
    <w:rsid w:val="0020536C"/>
    <w:rsid w:val="00215228"/>
    <w:rsid w:val="00217B86"/>
    <w:rsid w:val="00223ACF"/>
    <w:rsid w:val="00227B0D"/>
    <w:rsid w:val="0023492F"/>
    <w:rsid w:val="00264E9D"/>
    <w:rsid w:val="002679BA"/>
    <w:rsid w:val="00270F06"/>
    <w:rsid w:val="00286A22"/>
    <w:rsid w:val="00291F2D"/>
    <w:rsid w:val="00294AA6"/>
    <w:rsid w:val="002B4882"/>
    <w:rsid w:val="002E00D7"/>
    <w:rsid w:val="002F53A1"/>
    <w:rsid w:val="0030622B"/>
    <w:rsid w:val="00312237"/>
    <w:rsid w:val="00314DEB"/>
    <w:rsid w:val="00330609"/>
    <w:rsid w:val="003367DF"/>
    <w:rsid w:val="003451CC"/>
    <w:rsid w:val="00356B61"/>
    <w:rsid w:val="003754B8"/>
    <w:rsid w:val="003832F9"/>
    <w:rsid w:val="00384777"/>
    <w:rsid w:val="00385DD1"/>
    <w:rsid w:val="00393475"/>
    <w:rsid w:val="003A369C"/>
    <w:rsid w:val="003A6FA7"/>
    <w:rsid w:val="003B2650"/>
    <w:rsid w:val="00431ED1"/>
    <w:rsid w:val="00434008"/>
    <w:rsid w:val="004468E2"/>
    <w:rsid w:val="0044700F"/>
    <w:rsid w:val="0045627C"/>
    <w:rsid w:val="004562E8"/>
    <w:rsid w:val="0046700E"/>
    <w:rsid w:val="00477EFD"/>
    <w:rsid w:val="00481778"/>
    <w:rsid w:val="004819B1"/>
    <w:rsid w:val="0048427E"/>
    <w:rsid w:val="00492F1E"/>
    <w:rsid w:val="00496367"/>
    <w:rsid w:val="004C12C0"/>
    <w:rsid w:val="004C7642"/>
    <w:rsid w:val="004D2EE3"/>
    <w:rsid w:val="004E10E6"/>
    <w:rsid w:val="004E3803"/>
    <w:rsid w:val="004E7DDF"/>
    <w:rsid w:val="004F3F24"/>
    <w:rsid w:val="004F79C0"/>
    <w:rsid w:val="00520A1D"/>
    <w:rsid w:val="00531AC9"/>
    <w:rsid w:val="0055486B"/>
    <w:rsid w:val="00555D5F"/>
    <w:rsid w:val="005573BC"/>
    <w:rsid w:val="005756B4"/>
    <w:rsid w:val="00575F3D"/>
    <w:rsid w:val="00586B52"/>
    <w:rsid w:val="005A16BB"/>
    <w:rsid w:val="005B24FA"/>
    <w:rsid w:val="005B34A0"/>
    <w:rsid w:val="005C7409"/>
    <w:rsid w:val="005E2426"/>
    <w:rsid w:val="005E571B"/>
    <w:rsid w:val="005E77BD"/>
    <w:rsid w:val="005F032B"/>
    <w:rsid w:val="005F2838"/>
    <w:rsid w:val="005F33BC"/>
    <w:rsid w:val="005F470C"/>
    <w:rsid w:val="005F772C"/>
    <w:rsid w:val="005F7FE5"/>
    <w:rsid w:val="00606B6C"/>
    <w:rsid w:val="00615EFE"/>
    <w:rsid w:val="00622FE4"/>
    <w:rsid w:val="006369EB"/>
    <w:rsid w:val="00652482"/>
    <w:rsid w:val="00657905"/>
    <w:rsid w:val="0066751A"/>
    <w:rsid w:val="0067123F"/>
    <w:rsid w:val="00674C26"/>
    <w:rsid w:val="006842EB"/>
    <w:rsid w:val="00691E3B"/>
    <w:rsid w:val="006951A3"/>
    <w:rsid w:val="006A69C2"/>
    <w:rsid w:val="006C0188"/>
    <w:rsid w:val="006C4598"/>
    <w:rsid w:val="006D7273"/>
    <w:rsid w:val="006E40ED"/>
    <w:rsid w:val="006E5BEC"/>
    <w:rsid w:val="007166B3"/>
    <w:rsid w:val="0073071D"/>
    <w:rsid w:val="00734295"/>
    <w:rsid w:val="007403D1"/>
    <w:rsid w:val="0074189B"/>
    <w:rsid w:val="007460D7"/>
    <w:rsid w:val="00755120"/>
    <w:rsid w:val="007652D9"/>
    <w:rsid w:val="007909C3"/>
    <w:rsid w:val="007A42E6"/>
    <w:rsid w:val="007C2C39"/>
    <w:rsid w:val="007C4050"/>
    <w:rsid w:val="007E1B4C"/>
    <w:rsid w:val="007F1CE3"/>
    <w:rsid w:val="008013EB"/>
    <w:rsid w:val="00803D5F"/>
    <w:rsid w:val="0081100C"/>
    <w:rsid w:val="0083457F"/>
    <w:rsid w:val="00860C0C"/>
    <w:rsid w:val="008717AA"/>
    <w:rsid w:val="008844BF"/>
    <w:rsid w:val="008861DA"/>
    <w:rsid w:val="008A35DB"/>
    <w:rsid w:val="008A6054"/>
    <w:rsid w:val="008D28C6"/>
    <w:rsid w:val="008D7896"/>
    <w:rsid w:val="008E0C48"/>
    <w:rsid w:val="008F161D"/>
    <w:rsid w:val="00913895"/>
    <w:rsid w:val="0091785A"/>
    <w:rsid w:val="009232F7"/>
    <w:rsid w:val="00936DBF"/>
    <w:rsid w:val="00946417"/>
    <w:rsid w:val="00947DB0"/>
    <w:rsid w:val="00974830"/>
    <w:rsid w:val="009840D3"/>
    <w:rsid w:val="00986821"/>
    <w:rsid w:val="00991F36"/>
    <w:rsid w:val="009A6B48"/>
    <w:rsid w:val="009B4A7A"/>
    <w:rsid w:val="009B6FAC"/>
    <w:rsid w:val="009C5A02"/>
    <w:rsid w:val="009D5380"/>
    <w:rsid w:val="009E5DA0"/>
    <w:rsid w:val="009F052F"/>
    <w:rsid w:val="009F70FC"/>
    <w:rsid w:val="00A008AB"/>
    <w:rsid w:val="00A01C0E"/>
    <w:rsid w:val="00A12A4E"/>
    <w:rsid w:val="00A26360"/>
    <w:rsid w:val="00A2684A"/>
    <w:rsid w:val="00A32631"/>
    <w:rsid w:val="00A45575"/>
    <w:rsid w:val="00A5224D"/>
    <w:rsid w:val="00A57C31"/>
    <w:rsid w:val="00A61C5A"/>
    <w:rsid w:val="00A672EA"/>
    <w:rsid w:val="00A67614"/>
    <w:rsid w:val="00A72927"/>
    <w:rsid w:val="00A85154"/>
    <w:rsid w:val="00A87CA4"/>
    <w:rsid w:val="00A93B08"/>
    <w:rsid w:val="00AA6221"/>
    <w:rsid w:val="00AB056A"/>
    <w:rsid w:val="00AB2092"/>
    <w:rsid w:val="00AB28DE"/>
    <w:rsid w:val="00AC2287"/>
    <w:rsid w:val="00AC4198"/>
    <w:rsid w:val="00AC503A"/>
    <w:rsid w:val="00AD39BF"/>
    <w:rsid w:val="00AD4309"/>
    <w:rsid w:val="00AE6A3D"/>
    <w:rsid w:val="00AF5946"/>
    <w:rsid w:val="00AF5B82"/>
    <w:rsid w:val="00AF6F3D"/>
    <w:rsid w:val="00B0542A"/>
    <w:rsid w:val="00B117DB"/>
    <w:rsid w:val="00B30F7F"/>
    <w:rsid w:val="00B3550C"/>
    <w:rsid w:val="00B41FE8"/>
    <w:rsid w:val="00B51150"/>
    <w:rsid w:val="00B52FD5"/>
    <w:rsid w:val="00B72871"/>
    <w:rsid w:val="00B80263"/>
    <w:rsid w:val="00B86561"/>
    <w:rsid w:val="00B95187"/>
    <w:rsid w:val="00BA10FA"/>
    <w:rsid w:val="00BA19D2"/>
    <w:rsid w:val="00BC1C95"/>
    <w:rsid w:val="00BD6D92"/>
    <w:rsid w:val="00C00587"/>
    <w:rsid w:val="00C12E40"/>
    <w:rsid w:val="00C25AFC"/>
    <w:rsid w:val="00C335A3"/>
    <w:rsid w:val="00C514F1"/>
    <w:rsid w:val="00C51884"/>
    <w:rsid w:val="00C533A4"/>
    <w:rsid w:val="00C550F1"/>
    <w:rsid w:val="00C63A56"/>
    <w:rsid w:val="00C75C62"/>
    <w:rsid w:val="00C861FD"/>
    <w:rsid w:val="00C949F6"/>
    <w:rsid w:val="00C961C7"/>
    <w:rsid w:val="00CA20D7"/>
    <w:rsid w:val="00CD7A11"/>
    <w:rsid w:val="00CE18F1"/>
    <w:rsid w:val="00CF15B3"/>
    <w:rsid w:val="00CF2300"/>
    <w:rsid w:val="00D316DF"/>
    <w:rsid w:val="00D43879"/>
    <w:rsid w:val="00D463D0"/>
    <w:rsid w:val="00D46825"/>
    <w:rsid w:val="00D51EE8"/>
    <w:rsid w:val="00D54405"/>
    <w:rsid w:val="00D54B56"/>
    <w:rsid w:val="00D56E5D"/>
    <w:rsid w:val="00D70A22"/>
    <w:rsid w:val="00DB6144"/>
    <w:rsid w:val="00DC1AEE"/>
    <w:rsid w:val="00DD0700"/>
    <w:rsid w:val="00DD1030"/>
    <w:rsid w:val="00DD20FD"/>
    <w:rsid w:val="00DD6727"/>
    <w:rsid w:val="00DE4EA9"/>
    <w:rsid w:val="00E105FB"/>
    <w:rsid w:val="00E2009A"/>
    <w:rsid w:val="00E2575C"/>
    <w:rsid w:val="00E40760"/>
    <w:rsid w:val="00E42FD0"/>
    <w:rsid w:val="00E50812"/>
    <w:rsid w:val="00E57F1D"/>
    <w:rsid w:val="00E617A1"/>
    <w:rsid w:val="00E67253"/>
    <w:rsid w:val="00E70B13"/>
    <w:rsid w:val="00E7171E"/>
    <w:rsid w:val="00E74422"/>
    <w:rsid w:val="00E75D90"/>
    <w:rsid w:val="00E81623"/>
    <w:rsid w:val="00E91466"/>
    <w:rsid w:val="00E95B2A"/>
    <w:rsid w:val="00EA4BB8"/>
    <w:rsid w:val="00EE0EE4"/>
    <w:rsid w:val="00EF090F"/>
    <w:rsid w:val="00F0379C"/>
    <w:rsid w:val="00F06155"/>
    <w:rsid w:val="00F129B5"/>
    <w:rsid w:val="00F275BA"/>
    <w:rsid w:val="00F37B4E"/>
    <w:rsid w:val="00F51F6B"/>
    <w:rsid w:val="00F607C7"/>
    <w:rsid w:val="00F71C05"/>
    <w:rsid w:val="00F85A13"/>
    <w:rsid w:val="00FA4E8E"/>
    <w:rsid w:val="00FB4132"/>
    <w:rsid w:val="00FB611B"/>
    <w:rsid w:val="00FC3916"/>
    <w:rsid w:val="00FD31A0"/>
    <w:rsid w:val="00FD40CC"/>
    <w:rsid w:val="00FD6C04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3A62E4"/>
  <w15:chartTrackingRefBased/>
  <w15:docId w15:val="{672FEA43-192E-4348-8D81-CEA9CE55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styleId="Tabellenraster">
    <w:name w:val="Table Grid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HellesRaster-Akzent31">
    <w:name w:val="Helles Raster - Akzent 3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uiPriority w:val="22"/>
    <w:qFormat/>
    <w:rsid w:val="00A26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schutz.de/de/foerderung-der-nki/foerderkompass" TargetMode="External"/><Relationship Id="rId13" Type="http://schemas.openxmlformats.org/officeDocument/2006/relationships/hyperlink" Target="https://www.dbu.de/foerderun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enova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fillrevolution.sarstedt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edteconline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uke-green.de/KLUG-Netzwerk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DA3E-D6BD-41AD-AF7E-51876DD7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2</Pages>
  <Words>517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3774</CharactersWithSpaces>
  <SharedDoc>false</SharedDoc>
  <HLinks>
    <vt:vector size="30" baseType="variant"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>https://www.dbu.de/foerderung/</vt:lpwstr>
      </vt:variant>
      <vt:variant>
        <vt:lpwstr/>
      </vt:variant>
      <vt:variant>
        <vt:i4>131088</vt:i4>
      </vt:variant>
      <vt:variant>
        <vt:i4>9</vt:i4>
      </vt:variant>
      <vt:variant>
        <vt:i4>0</vt:i4>
      </vt:variant>
      <vt:variant>
        <vt:i4>5</vt:i4>
      </vt:variant>
      <vt:variant>
        <vt:lpwstr>https://grenovasolutions.com/</vt:lpwstr>
      </vt:variant>
      <vt:variant>
        <vt:lpwstr/>
      </vt:variant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https://refillrevolution.sarstedt.com/</vt:lpwstr>
      </vt:variant>
      <vt:variant>
        <vt:lpwstr/>
      </vt:variant>
      <vt:variant>
        <vt:i4>1114113</vt:i4>
      </vt:variant>
      <vt:variant>
        <vt:i4>3</vt:i4>
      </vt:variant>
      <vt:variant>
        <vt:i4>0</vt:i4>
      </vt:variant>
      <vt:variant>
        <vt:i4>5</vt:i4>
      </vt:variant>
      <vt:variant>
        <vt:lpwstr>http://www.klimawandel-gesundheit.de/</vt:lpwstr>
      </vt:variant>
      <vt:variant>
        <vt:lpwstr/>
      </vt:variant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https://www.klimaschutz.de/de/foerderung/foerderkompass/technik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11</cp:revision>
  <cp:lastPrinted>2012-09-24T09:29:00Z</cp:lastPrinted>
  <dcterms:created xsi:type="dcterms:W3CDTF">2026-01-09T16:42:00Z</dcterms:created>
  <dcterms:modified xsi:type="dcterms:W3CDTF">2026-01-14T20:33:00Z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