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B22860" w:rsidRDefault="00CE0D58" w:rsidP="00B92A18">
      <w:pPr>
        <w:rPr>
          <w:rFonts w:ascii="Calibri" w:hAnsi="Calibri" w:cs="Calibri"/>
          <w:sz w:val="22"/>
          <w:szCs w:val="22"/>
        </w:rPr>
      </w:pPr>
      <w:r w:rsidRPr="001D2FF7">
        <w:rPr>
          <w:rFonts w:ascii="Calibri" w:hAnsi="Calibri" w:cs="Calibri"/>
        </w:rPr>
        <w:t>Das Gesundheitssystem ist mit über 5% an den deutschen Gesamtemissionen be</w:t>
      </w:r>
      <w:r w:rsidR="008B1A63">
        <w:rPr>
          <w:rFonts w:ascii="Calibri" w:hAnsi="Calibri" w:cs="Calibri"/>
        </w:rPr>
        <w:t>t</w:t>
      </w:r>
      <w:r w:rsidRPr="001D2FF7">
        <w:rPr>
          <w:rFonts w:ascii="Calibri" w:hAnsi="Calibri" w:cs="Calibri"/>
        </w:rPr>
        <w:t xml:space="preserve">eiligt. Ein großer Teil davon wird durch </w:t>
      </w:r>
      <w:proofErr w:type="spellStart"/>
      <w:r w:rsidRPr="001D2FF7">
        <w:rPr>
          <w:rFonts w:ascii="Calibri" w:hAnsi="Calibri" w:cs="Calibri"/>
        </w:rPr>
        <w:t>medical</w:t>
      </w:r>
      <w:proofErr w:type="spellEnd"/>
      <w:r w:rsidRPr="001D2FF7">
        <w:rPr>
          <w:rFonts w:ascii="Calibri" w:hAnsi="Calibri" w:cs="Calibri"/>
        </w:rPr>
        <w:t xml:space="preserve"> </w:t>
      </w:r>
      <w:proofErr w:type="spellStart"/>
      <w:r w:rsidRPr="001D2FF7">
        <w:rPr>
          <w:rFonts w:ascii="Calibri" w:hAnsi="Calibri" w:cs="Calibri"/>
        </w:rPr>
        <w:t>overconsumption</w:t>
      </w:r>
      <w:proofErr w:type="spellEnd"/>
      <w:r w:rsidRPr="001D2FF7">
        <w:rPr>
          <w:rFonts w:ascii="Calibri" w:hAnsi="Calibri" w:cs="Calibri"/>
        </w:rPr>
        <w:t xml:space="preserve"> verursacht, also einem Zuviel an nutzloser Diagnostik und Therapie. </w:t>
      </w:r>
      <w:r w:rsidRPr="005B0C5D">
        <w:rPr>
          <w:rFonts w:ascii="Calibri" w:hAnsi="Calibri" w:cs="Calibri"/>
          <w:b/>
        </w:rPr>
        <w:t>„Klug entscheiden“</w:t>
      </w:r>
      <w:r w:rsidRPr="001D2FF7">
        <w:rPr>
          <w:rFonts w:ascii="Calibri" w:hAnsi="Calibri" w:cs="Calibri"/>
        </w:rPr>
        <w:t xml:space="preserve">, eine Initiative der Deutschen Gesellschaft für Innere Medizin (DGIM), hat für viele Fachgruppen eine Liste mit Empfehlungen zur Vermeidung von </w:t>
      </w:r>
      <w:proofErr w:type="spellStart"/>
      <w:r w:rsidRPr="001D2FF7">
        <w:rPr>
          <w:rFonts w:ascii="Calibri" w:hAnsi="Calibri" w:cs="Calibri"/>
        </w:rPr>
        <w:t>overtreatment</w:t>
      </w:r>
      <w:proofErr w:type="spellEnd"/>
      <w:r w:rsidRPr="001D2FF7">
        <w:rPr>
          <w:rFonts w:ascii="Calibri" w:hAnsi="Calibri" w:cs="Calibri"/>
        </w:rPr>
        <w:t xml:space="preserve"> entwickelt. Die 2011 in Kanada gegründete Initiative </w:t>
      </w:r>
      <w:r w:rsidRPr="005B0C5D">
        <w:rPr>
          <w:rFonts w:ascii="Calibri" w:hAnsi="Calibri" w:cs="Calibri"/>
          <w:b/>
        </w:rPr>
        <w:t>„</w:t>
      </w:r>
      <w:proofErr w:type="spellStart"/>
      <w:r w:rsidRPr="005B0C5D">
        <w:rPr>
          <w:rFonts w:ascii="Calibri" w:hAnsi="Calibri" w:cs="Calibri"/>
          <w:b/>
        </w:rPr>
        <w:t>choosing</w:t>
      </w:r>
      <w:proofErr w:type="spellEnd"/>
      <w:r w:rsidRPr="005B0C5D">
        <w:rPr>
          <w:rFonts w:ascii="Calibri" w:hAnsi="Calibri" w:cs="Calibri"/>
          <w:b/>
        </w:rPr>
        <w:t xml:space="preserve"> </w:t>
      </w:r>
      <w:proofErr w:type="spellStart"/>
      <w:r w:rsidRPr="005B0C5D">
        <w:rPr>
          <w:rFonts w:ascii="Calibri" w:hAnsi="Calibri" w:cs="Calibri"/>
          <w:b/>
        </w:rPr>
        <w:t>wisely</w:t>
      </w:r>
      <w:proofErr w:type="spellEnd"/>
      <w:r w:rsidRPr="005B0C5D">
        <w:rPr>
          <w:rFonts w:ascii="Calibri" w:hAnsi="Calibri" w:cs="Calibri"/>
          <w:b/>
        </w:rPr>
        <w:t>“</w:t>
      </w:r>
      <w:r w:rsidRPr="001D2FF7">
        <w:rPr>
          <w:rFonts w:ascii="Calibri" w:hAnsi="Calibri" w:cs="Calibri"/>
        </w:rPr>
        <w:t xml:space="preserve"> gibt ebenfalls Beispiele und Anleitungen aus verschiedenen Fachrichtungen und leistet Hilfestellung zu Änderung des Verordnungs- und Therapieverhaltens.</w:t>
      </w:r>
      <w:r w:rsidRPr="00CE0D58">
        <w:rPr>
          <w:rFonts w:ascii="Calibri" w:hAnsi="Calibri" w:cs="Calibri"/>
          <w:sz w:val="22"/>
          <w:szCs w:val="22"/>
        </w:rPr>
        <w:t xml:space="preserve"> </w:t>
      </w:r>
    </w:p>
    <w:p w:rsidR="008801A1" w:rsidRDefault="00CE0D58" w:rsidP="00B92A18">
      <w:pPr>
        <w:rPr>
          <w:rFonts w:ascii="Calibri" w:hAnsi="Calibri" w:cs="Calibri"/>
          <w:sz w:val="22"/>
          <w:szCs w:val="22"/>
        </w:rPr>
      </w:pPr>
      <w:r w:rsidRPr="00CE0D58">
        <w:rPr>
          <w:rFonts w:ascii="Calibri" w:hAnsi="Calibri" w:cs="Calibri"/>
        </w:rPr>
        <w:t xml:space="preserve">Die Tabelle gibt Beispiele für </w:t>
      </w:r>
      <w:r w:rsidR="0028692C">
        <w:rPr>
          <w:rFonts w:ascii="Calibri" w:hAnsi="Calibri" w:cs="Calibri"/>
        </w:rPr>
        <w:t>das Fachgebiet</w:t>
      </w:r>
      <w:r w:rsidRPr="00CE0D58">
        <w:rPr>
          <w:rFonts w:ascii="Calibri" w:hAnsi="Calibri" w:cs="Calibri"/>
        </w:rPr>
        <w:t xml:space="preserve"> Dermatologie</w:t>
      </w:r>
      <w:r w:rsidR="0028692C">
        <w:rPr>
          <w:rFonts w:ascii="Calibri" w:hAnsi="Calibri" w:cs="Calibri"/>
        </w:rPr>
        <w:t xml:space="preserve"> ohne</w:t>
      </w:r>
      <w:r w:rsidRPr="00CE0D58">
        <w:rPr>
          <w:rFonts w:ascii="Calibri" w:hAnsi="Calibri" w:cs="Calibri"/>
        </w:rPr>
        <w:t xml:space="preserve"> Anspruch auf Vollständigkeit</w:t>
      </w:r>
      <w:r w:rsidR="007D29E9">
        <w:rPr>
          <w:rFonts w:ascii="Calibri" w:hAnsi="Calibri" w:cs="Calibri"/>
        </w:rPr>
        <w:t xml:space="preserve">. Wir </w:t>
      </w:r>
      <w:r w:rsidR="00B22860">
        <w:rPr>
          <w:rFonts w:ascii="Calibri" w:hAnsi="Calibri" w:cs="Calibri"/>
        </w:rPr>
        <w:t>freuen uns über</w:t>
      </w:r>
      <w:r w:rsidR="007D29E9">
        <w:rPr>
          <w:rFonts w:ascii="Calibri" w:hAnsi="Calibri" w:cs="Calibri"/>
        </w:rPr>
        <w:t xml:space="preserve"> weitere Ideen und Vorschläge</w:t>
      </w:r>
      <w:r w:rsidRPr="00CE0D58">
        <w:rPr>
          <w:rFonts w:ascii="Calibri" w:hAnsi="Calibri" w:cs="Calibri"/>
        </w:rPr>
        <w:t>.</w:t>
      </w:r>
    </w:p>
    <w:p w:rsidR="005916EA" w:rsidRPr="006534DA" w:rsidRDefault="005916EA" w:rsidP="005916EA">
      <w:pPr>
        <w:jc w:val="left"/>
        <w:rPr>
          <w:rFonts w:ascii="Calibri" w:hAnsi="Calibri" w:cs="Calibri"/>
          <w:sz w:val="22"/>
          <w:szCs w:val="22"/>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5699"/>
        <w:gridCol w:w="6634"/>
      </w:tblGrid>
      <w:tr w:rsidR="00D57024" w:rsidRPr="0046700E" w:rsidTr="00F168F9">
        <w:tc>
          <w:tcPr>
            <w:tcW w:w="2376" w:type="dxa"/>
            <w:shd w:val="clear" w:color="auto" w:fill="D9D9D9"/>
          </w:tcPr>
          <w:p w:rsidR="00D57024" w:rsidRPr="00085B0B" w:rsidRDefault="002F7B13" w:rsidP="007F5A0D">
            <w:pPr>
              <w:jc w:val="left"/>
              <w:rPr>
                <w:rFonts w:ascii="Calibri" w:hAnsi="Calibri" w:cs="Calibri"/>
                <w:b/>
                <w:sz w:val="22"/>
                <w:szCs w:val="22"/>
              </w:rPr>
            </w:pPr>
            <w:r>
              <w:rPr>
                <w:rFonts w:ascii="Calibri" w:hAnsi="Calibri" w:cs="Calibri"/>
                <w:b/>
                <w:sz w:val="22"/>
                <w:szCs w:val="22"/>
              </w:rPr>
              <w:t>Bereich</w:t>
            </w:r>
          </w:p>
        </w:tc>
        <w:tc>
          <w:tcPr>
            <w:tcW w:w="5699" w:type="dxa"/>
            <w:shd w:val="clear" w:color="auto" w:fill="D9D9D9"/>
          </w:tcPr>
          <w:p w:rsidR="00D57024" w:rsidRDefault="00A63C93" w:rsidP="007F5A0D">
            <w:pPr>
              <w:rPr>
                <w:rFonts w:ascii="Calibri" w:hAnsi="Calibri" w:cs="Calibri"/>
                <w:b/>
                <w:sz w:val="22"/>
                <w:szCs w:val="22"/>
              </w:rPr>
            </w:pPr>
            <w:r>
              <w:rPr>
                <w:rFonts w:ascii="Calibri" w:hAnsi="Calibri" w:cs="Calibri"/>
                <w:b/>
                <w:sz w:val="22"/>
                <w:szCs w:val="22"/>
              </w:rPr>
              <w:t>Beispiele</w:t>
            </w:r>
          </w:p>
          <w:p w:rsidR="00CF3D5D" w:rsidRDefault="00CF3D5D" w:rsidP="007F5A0D">
            <w:pPr>
              <w:rPr>
                <w:rFonts w:ascii="Calibri" w:hAnsi="Calibri" w:cs="Calibri"/>
                <w:b/>
                <w:sz w:val="22"/>
                <w:szCs w:val="22"/>
              </w:rPr>
            </w:pPr>
          </w:p>
        </w:tc>
        <w:tc>
          <w:tcPr>
            <w:tcW w:w="6634" w:type="dxa"/>
            <w:shd w:val="clear" w:color="auto" w:fill="D9D9D9"/>
          </w:tcPr>
          <w:p w:rsidR="00D57024" w:rsidRDefault="00D57024" w:rsidP="007F5A0D">
            <w:pPr>
              <w:rPr>
                <w:rFonts w:ascii="Calibri" w:hAnsi="Calibri" w:cs="Calibri"/>
                <w:b/>
                <w:sz w:val="22"/>
                <w:szCs w:val="22"/>
              </w:rPr>
            </w:pPr>
            <w:r>
              <w:rPr>
                <w:rFonts w:ascii="Calibri" w:hAnsi="Calibri" w:cs="Calibri"/>
                <w:b/>
                <w:sz w:val="22"/>
                <w:szCs w:val="22"/>
              </w:rPr>
              <w:t>Begründung</w:t>
            </w:r>
          </w:p>
        </w:tc>
      </w:tr>
      <w:tr w:rsidR="00D57024" w:rsidRPr="00852AC4" w:rsidTr="00CD4514">
        <w:tc>
          <w:tcPr>
            <w:tcW w:w="2376" w:type="dxa"/>
            <w:shd w:val="clear" w:color="auto" w:fill="FFFFFF" w:themeFill="background1"/>
          </w:tcPr>
          <w:p w:rsidR="00CE0D58" w:rsidRPr="00581605" w:rsidRDefault="004A2AC3" w:rsidP="00CD4514">
            <w:pPr>
              <w:suppressAutoHyphens w:val="0"/>
              <w:rPr>
                <w:rFonts w:ascii="Times New Roman" w:hAnsi="Times New Roman" w:cs="Times New Roman"/>
                <w:lang w:eastAsia="de-DE"/>
              </w:rPr>
            </w:pPr>
            <w:r>
              <w:rPr>
                <w:rFonts w:ascii="Calibri" w:hAnsi="Calibri" w:cs="Calibri"/>
                <w:lang w:eastAsia="de-DE"/>
              </w:rPr>
              <w:t>Medikamente</w:t>
            </w:r>
            <w:r w:rsidR="00CE0D58" w:rsidRPr="00581605">
              <w:rPr>
                <w:rFonts w:ascii="Calibri" w:hAnsi="Calibri" w:cs="Calibri"/>
                <w:lang w:eastAsia="de-DE"/>
              </w:rPr>
              <w:t xml:space="preserve"> </w:t>
            </w:r>
          </w:p>
          <w:p w:rsidR="00D57024" w:rsidRPr="00581605" w:rsidRDefault="00D57024" w:rsidP="00CD4514">
            <w:pPr>
              <w:jc w:val="left"/>
              <w:rPr>
                <w:rFonts w:ascii="Calibri" w:hAnsi="Calibri" w:cs="Calibri"/>
                <w:b/>
              </w:rPr>
            </w:pPr>
          </w:p>
        </w:tc>
        <w:tc>
          <w:tcPr>
            <w:tcW w:w="5699" w:type="dxa"/>
            <w:shd w:val="clear" w:color="auto" w:fill="FFFFFF"/>
          </w:tcPr>
          <w:p w:rsidR="00D57024" w:rsidRPr="00F81823" w:rsidRDefault="004A2AC3" w:rsidP="00CD4514">
            <w:pPr>
              <w:numPr>
                <w:ilvl w:val="0"/>
                <w:numId w:val="3"/>
              </w:numPr>
              <w:jc w:val="left"/>
              <w:rPr>
                <w:rFonts w:ascii="Calibri" w:hAnsi="Calibri" w:cs="Calibri"/>
                <w:sz w:val="22"/>
                <w:szCs w:val="22"/>
              </w:rPr>
            </w:pPr>
            <w:r w:rsidRPr="00F81823">
              <w:rPr>
                <w:rFonts w:ascii="Calibri" w:hAnsi="Calibri" w:cs="Calibri"/>
                <w:sz w:val="22"/>
                <w:szCs w:val="22"/>
              </w:rPr>
              <w:t>bei Verdacht auf Nagel</w:t>
            </w:r>
            <w:r w:rsidR="00DD1CD4">
              <w:rPr>
                <w:rFonts w:ascii="Calibri" w:hAnsi="Calibri" w:cs="Calibri"/>
                <w:sz w:val="22"/>
                <w:szCs w:val="22"/>
              </w:rPr>
              <w:t>mykose</w:t>
            </w:r>
            <w:r w:rsidRPr="00F81823">
              <w:rPr>
                <w:rFonts w:ascii="Calibri" w:hAnsi="Calibri" w:cs="Calibri"/>
                <w:sz w:val="22"/>
                <w:szCs w:val="22"/>
              </w:rPr>
              <w:t xml:space="preserve"> keine orale antimykotische Therapie ver</w:t>
            </w:r>
            <w:r w:rsidR="00DD1CD4">
              <w:rPr>
                <w:rFonts w:ascii="Calibri" w:hAnsi="Calibri" w:cs="Calibri"/>
                <w:sz w:val="22"/>
                <w:szCs w:val="22"/>
              </w:rPr>
              <w:t>anlassen</w:t>
            </w:r>
            <w:r w:rsidRPr="00F81823">
              <w:rPr>
                <w:rFonts w:ascii="Calibri" w:hAnsi="Calibri" w:cs="Calibri"/>
                <w:sz w:val="22"/>
                <w:szCs w:val="22"/>
              </w:rPr>
              <w:t>, ohne dass die Pilzinfektion bestätigt ist.</w:t>
            </w:r>
            <w:r w:rsidR="002F0081" w:rsidRPr="00F81823">
              <w:rPr>
                <w:rFonts w:ascii="Calibri" w:hAnsi="Calibri" w:cs="Calibri"/>
                <w:sz w:val="22"/>
                <w:szCs w:val="22"/>
              </w:rPr>
              <w:t xml:space="preserve"> </w:t>
            </w:r>
            <w:r w:rsidR="00956FFC">
              <w:rPr>
                <w:rFonts w:ascii="Calibri" w:hAnsi="Calibri" w:cs="Calibri"/>
                <w:sz w:val="22"/>
                <w:szCs w:val="22"/>
              </w:rPr>
              <w:t>(</w:t>
            </w:r>
            <w:r w:rsidR="00F81823">
              <w:rPr>
                <w:rFonts w:ascii="Calibri" w:hAnsi="Calibri" w:cs="Calibri"/>
                <w:sz w:val="22"/>
                <w:szCs w:val="22"/>
              </w:rPr>
              <w:t>Einschränkung:</w:t>
            </w:r>
            <w:r w:rsidR="002F0081" w:rsidRPr="00F81823">
              <w:rPr>
                <w:rFonts w:ascii="Calibri" w:hAnsi="Calibri" w:cs="Calibri"/>
                <w:sz w:val="22"/>
                <w:szCs w:val="22"/>
              </w:rPr>
              <w:t xml:space="preserve"> </w:t>
            </w:r>
            <w:r w:rsidR="00956FFC">
              <w:rPr>
                <w:rFonts w:ascii="Calibri" w:hAnsi="Calibri" w:cs="Calibri"/>
                <w:sz w:val="22"/>
                <w:szCs w:val="22"/>
              </w:rPr>
              <w:t>oft</w:t>
            </w:r>
            <w:r w:rsidR="00F81823">
              <w:rPr>
                <w:rFonts w:ascii="Calibri" w:hAnsi="Calibri" w:cs="Calibri"/>
                <w:sz w:val="22"/>
                <w:szCs w:val="22"/>
              </w:rPr>
              <w:t xml:space="preserve"> </w:t>
            </w:r>
            <w:r w:rsidR="002F0081" w:rsidRPr="00F81823">
              <w:rPr>
                <w:rFonts w:ascii="Calibri" w:hAnsi="Calibri" w:cs="Calibri"/>
                <w:sz w:val="22"/>
                <w:szCs w:val="22"/>
              </w:rPr>
              <w:t>falsch negativ</w:t>
            </w:r>
            <w:r w:rsidR="00956FFC">
              <w:rPr>
                <w:rFonts w:ascii="Calibri" w:hAnsi="Calibri" w:cs="Calibri"/>
                <w:sz w:val="22"/>
                <w:szCs w:val="22"/>
              </w:rPr>
              <w:t>e Testergebnisse)</w:t>
            </w:r>
          </w:p>
          <w:p w:rsidR="00E12CAB" w:rsidRPr="00D016D4" w:rsidRDefault="00E12CAB" w:rsidP="00CD4514">
            <w:pPr>
              <w:numPr>
                <w:ilvl w:val="0"/>
                <w:numId w:val="3"/>
              </w:numPr>
              <w:jc w:val="left"/>
              <w:rPr>
                <w:rFonts w:ascii="Calibri" w:hAnsi="Calibri" w:cs="Calibri"/>
                <w:sz w:val="22"/>
                <w:szCs w:val="22"/>
              </w:rPr>
            </w:pPr>
            <w:r>
              <w:rPr>
                <w:rFonts w:ascii="Calibri" w:hAnsi="Calibri" w:cs="Calibri"/>
                <w:bCs/>
                <w:sz w:val="22"/>
              </w:rPr>
              <w:t>keine</w:t>
            </w:r>
            <w:r w:rsidRPr="00E12CAB">
              <w:rPr>
                <w:rFonts w:ascii="Calibri" w:hAnsi="Calibri" w:cs="Calibri"/>
                <w:bCs/>
                <w:sz w:val="22"/>
              </w:rPr>
              <w:t xml:space="preserve"> routinemäßig</w:t>
            </w:r>
            <w:r>
              <w:rPr>
                <w:rFonts w:ascii="Calibri" w:hAnsi="Calibri" w:cs="Calibri"/>
                <w:bCs/>
                <w:sz w:val="22"/>
              </w:rPr>
              <w:t>e</w:t>
            </w:r>
            <w:r w:rsidRPr="00E12CAB">
              <w:rPr>
                <w:rFonts w:ascii="Calibri" w:hAnsi="Calibri" w:cs="Calibri"/>
                <w:bCs/>
                <w:sz w:val="22"/>
              </w:rPr>
              <w:t xml:space="preserve"> orale Antibio</w:t>
            </w:r>
            <w:r>
              <w:rPr>
                <w:rFonts w:ascii="Calibri" w:hAnsi="Calibri" w:cs="Calibri"/>
                <w:bCs/>
                <w:sz w:val="22"/>
              </w:rPr>
              <w:t>se</w:t>
            </w:r>
            <w:r w:rsidRPr="00E12CAB">
              <w:rPr>
                <w:rFonts w:ascii="Calibri" w:hAnsi="Calibri" w:cs="Calibri"/>
                <w:bCs/>
                <w:sz w:val="22"/>
              </w:rPr>
              <w:t xml:space="preserve"> zur Behandlung der atopischen Dermatitis</w:t>
            </w:r>
          </w:p>
          <w:p w:rsidR="00D016D4" w:rsidRDefault="00D016D4" w:rsidP="00CD4514">
            <w:pPr>
              <w:pStyle w:val="FarbigeListe-Akzent11"/>
              <w:rPr>
                <w:rFonts w:ascii="Calibri" w:hAnsi="Calibri" w:cs="Calibri"/>
                <w:sz w:val="22"/>
                <w:szCs w:val="22"/>
              </w:rPr>
            </w:pPr>
          </w:p>
          <w:p w:rsidR="00D016D4" w:rsidRDefault="00D016D4" w:rsidP="00CD4514">
            <w:pPr>
              <w:pStyle w:val="FarbigeListe-Akzent11"/>
              <w:rPr>
                <w:rFonts w:ascii="Calibri" w:hAnsi="Calibri" w:cs="Calibri"/>
                <w:sz w:val="22"/>
                <w:szCs w:val="22"/>
              </w:rPr>
            </w:pPr>
          </w:p>
          <w:p w:rsidR="00D016D4" w:rsidRDefault="00D016D4" w:rsidP="00CD4514">
            <w:pPr>
              <w:pStyle w:val="FarbigeListe-Akzent11"/>
              <w:rPr>
                <w:rFonts w:ascii="Calibri" w:hAnsi="Calibri" w:cs="Calibri"/>
                <w:sz w:val="22"/>
                <w:szCs w:val="22"/>
              </w:rPr>
            </w:pPr>
          </w:p>
          <w:p w:rsidR="00D016D4" w:rsidRDefault="00D016D4" w:rsidP="00CD4514">
            <w:pPr>
              <w:pStyle w:val="FarbigeListe-Akzent11"/>
              <w:rPr>
                <w:rFonts w:ascii="Calibri" w:hAnsi="Calibri" w:cs="Calibri"/>
                <w:sz w:val="22"/>
                <w:szCs w:val="22"/>
              </w:rPr>
            </w:pPr>
          </w:p>
          <w:p w:rsidR="00D016D4" w:rsidRPr="004A2AC3" w:rsidRDefault="00D016D4" w:rsidP="00CD4514">
            <w:pPr>
              <w:numPr>
                <w:ilvl w:val="0"/>
                <w:numId w:val="3"/>
              </w:numPr>
              <w:jc w:val="left"/>
              <w:rPr>
                <w:rFonts w:ascii="Calibri" w:hAnsi="Calibri" w:cs="Calibri"/>
                <w:sz w:val="22"/>
                <w:szCs w:val="22"/>
              </w:rPr>
            </w:pPr>
            <w:r>
              <w:rPr>
                <w:rFonts w:ascii="Calibri" w:hAnsi="Calibri" w:cs="Calibri"/>
                <w:sz w:val="22"/>
                <w:szCs w:val="22"/>
              </w:rPr>
              <w:t xml:space="preserve">kein </w:t>
            </w:r>
            <w:r w:rsidRPr="00D016D4">
              <w:rPr>
                <w:rFonts w:ascii="Calibri" w:hAnsi="Calibri" w:cs="Calibri"/>
                <w:sz w:val="22"/>
                <w:szCs w:val="22"/>
              </w:rPr>
              <w:t>routinemäßig</w:t>
            </w:r>
            <w:r>
              <w:rPr>
                <w:rFonts w:ascii="Calibri" w:hAnsi="Calibri" w:cs="Calibri"/>
                <w:sz w:val="22"/>
                <w:szCs w:val="22"/>
              </w:rPr>
              <w:t>er Einsatz von</w:t>
            </w:r>
            <w:r w:rsidRPr="00D016D4">
              <w:rPr>
                <w:rFonts w:ascii="Calibri" w:hAnsi="Calibri" w:cs="Calibri"/>
                <w:sz w:val="22"/>
                <w:szCs w:val="22"/>
              </w:rPr>
              <w:t xml:space="preserve"> Antibiotika für entzündete </w:t>
            </w:r>
            <w:proofErr w:type="spellStart"/>
            <w:r w:rsidRPr="00D016D4">
              <w:rPr>
                <w:rFonts w:ascii="Calibri" w:hAnsi="Calibri" w:cs="Calibri"/>
                <w:sz w:val="22"/>
                <w:szCs w:val="22"/>
              </w:rPr>
              <w:t>Epiderm</w:t>
            </w:r>
            <w:r w:rsidR="00762646">
              <w:rPr>
                <w:rFonts w:ascii="Calibri" w:hAnsi="Calibri" w:cs="Calibri"/>
                <w:sz w:val="22"/>
                <w:szCs w:val="22"/>
              </w:rPr>
              <w:t>oid</w:t>
            </w:r>
            <w:r w:rsidRPr="00D016D4">
              <w:rPr>
                <w:rFonts w:ascii="Calibri" w:hAnsi="Calibri" w:cs="Calibri"/>
                <w:sz w:val="22"/>
                <w:szCs w:val="22"/>
              </w:rPr>
              <w:t>zysten</w:t>
            </w:r>
            <w:proofErr w:type="spellEnd"/>
          </w:p>
        </w:tc>
        <w:tc>
          <w:tcPr>
            <w:tcW w:w="6634" w:type="dxa"/>
            <w:shd w:val="clear" w:color="auto" w:fill="FFFFFF"/>
          </w:tcPr>
          <w:p w:rsidR="00D57024" w:rsidRPr="00F168F9" w:rsidRDefault="00181D37" w:rsidP="00CD4514">
            <w:pPr>
              <w:numPr>
                <w:ilvl w:val="0"/>
                <w:numId w:val="3"/>
              </w:numPr>
              <w:jc w:val="left"/>
              <w:rPr>
                <w:rFonts w:ascii="Calibri" w:hAnsi="Calibri" w:cs="Calibri"/>
                <w:b/>
                <w:sz w:val="22"/>
                <w:szCs w:val="22"/>
              </w:rPr>
            </w:pPr>
            <w:r w:rsidRPr="00BD6ACD">
              <w:rPr>
                <w:rFonts w:ascii="Calibri" w:hAnsi="Calibri" w:cs="Calibri"/>
                <w:sz w:val="22"/>
                <w:szCs w:val="22"/>
              </w:rPr>
              <w:t xml:space="preserve">in etwa der Hälfte der Fälle mit Verdacht auf </w:t>
            </w:r>
            <w:proofErr w:type="spellStart"/>
            <w:r w:rsidRPr="00BD6ACD">
              <w:rPr>
                <w:rFonts w:ascii="Calibri" w:hAnsi="Calibri" w:cs="Calibri"/>
                <w:sz w:val="22"/>
                <w:szCs w:val="22"/>
              </w:rPr>
              <w:t>Onychomykose</w:t>
            </w:r>
            <w:proofErr w:type="spellEnd"/>
            <w:r w:rsidRPr="00BD6ACD">
              <w:rPr>
                <w:rFonts w:ascii="Calibri" w:hAnsi="Calibri" w:cs="Calibri"/>
                <w:sz w:val="22"/>
                <w:szCs w:val="22"/>
              </w:rPr>
              <w:t xml:space="preserve"> handelt es sich um ähnlich aussehende Nagelerkrankungen wie z. B. Nageldystrophien, Psoriasis </w:t>
            </w:r>
            <w:proofErr w:type="spellStart"/>
            <w:r w:rsidRPr="00BD6ACD">
              <w:rPr>
                <w:rFonts w:ascii="Calibri" w:hAnsi="Calibri" w:cs="Calibri"/>
                <w:sz w:val="22"/>
                <w:szCs w:val="22"/>
              </w:rPr>
              <w:t>unguium</w:t>
            </w:r>
            <w:proofErr w:type="spellEnd"/>
            <w:r w:rsidRPr="00BD6ACD">
              <w:rPr>
                <w:rFonts w:ascii="Calibri" w:hAnsi="Calibri" w:cs="Calibri"/>
                <w:sz w:val="22"/>
                <w:szCs w:val="22"/>
              </w:rPr>
              <w:t xml:space="preserve"> etc</w:t>
            </w:r>
            <w:r w:rsidRPr="007D6FF2">
              <w:rPr>
                <w:rFonts w:ascii="Calibri" w:hAnsi="Calibri" w:cs="Calibri"/>
                <w:sz w:val="22"/>
                <w:szCs w:val="22"/>
              </w:rPr>
              <w:t xml:space="preserve">. </w:t>
            </w:r>
            <w:r w:rsidR="002A089F" w:rsidRPr="007D6FF2">
              <w:rPr>
                <w:rFonts w:ascii="Calibri" w:hAnsi="Calibri" w:cs="Calibri"/>
                <w:sz w:val="22"/>
                <w:szCs w:val="22"/>
              </w:rPr>
              <w:t>(1,2)</w:t>
            </w:r>
          </w:p>
          <w:p w:rsidR="00F168F9" w:rsidRPr="00BD6ACD" w:rsidRDefault="00F168F9" w:rsidP="00CD4514">
            <w:pPr>
              <w:ind w:left="720"/>
              <w:jc w:val="left"/>
              <w:rPr>
                <w:rFonts w:ascii="Calibri" w:hAnsi="Calibri" w:cs="Calibri"/>
                <w:b/>
                <w:sz w:val="22"/>
                <w:szCs w:val="22"/>
              </w:rPr>
            </w:pPr>
          </w:p>
          <w:p w:rsidR="009B0A0B" w:rsidRPr="00AA19D0" w:rsidRDefault="009B0A0B" w:rsidP="00CD4514">
            <w:pPr>
              <w:numPr>
                <w:ilvl w:val="0"/>
                <w:numId w:val="3"/>
              </w:numPr>
              <w:jc w:val="left"/>
              <w:rPr>
                <w:rFonts w:ascii="Calibri" w:hAnsi="Calibri" w:cs="Calibri"/>
                <w:b/>
                <w:sz w:val="22"/>
                <w:szCs w:val="22"/>
              </w:rPr>
            </w:pPr>
            <w:r w:rsidRPr="00AA19D0">
              <w:rPr>
                <w:rFonts w:ascii="Calibri" w:hAnsi="Calibri" w:cs="Calibri"/>
                <w:sz w:val="22"/>
                <w:szCs w:val="22"/>
              </w:rPr>
              <w:t>Eine Besiedlung der Haut mit Staph</w:t>
            </w:r>
            <w:r w:rsidR="00B343BA" w:rsidRPr="00AA19D0">
              <w:rPr>
                <w:rFonts w:ascii="Calibri" w:hAnsi="Calibri" w:cs="Calibri"/>
                <w:sz w:val="22"/>
                <w:szCs w:val="22"/>
              </w:rPr>
              <w:t>ylokokkus</w:t>
            </w:r>
            <w:r w:rsidRPr="00AA19D0">
              <w:rPr>
                <w:rFonts w:ascii="Calibri" w:hAnsi="Calibri" w:cs="Calibri"/>
                <w:sz w:val="22"/>
                <w:szCs w:val="22"/>
              </w:rPr>
              <w:t xml:space="preserve"> </w:t>
            </w:r>
            <w:proofErr w:type="spellStart"/>
            <w:r w:rsidRPr="00AA19D0">
              <w:rPr>
                <w:rFonts w:ascii="Calibri" w:hAnsi="Calibri" w:cs="Calibri"/>
                <w:sz w:val="22"/>
                <w:szCs w:val="22"/>
              </w:rPr>
              <w:t>aureus</w:t>
            </w:r>
            <w:proofErr w:type="spellEnd"/>
            <w:r w:rsidRPr="00AA19D0">
              <w:rPr>
                <w:rFonts w:ascii="Calibri" w:hAnsi="Calibri" w:cs="Calibri"/>
                <w:sz w:val="22"/>
                <w:szCs w:val="22"/>
              </w:rPr>
              <w:t xml:space="preserve"> </w:t>
            </w:r>
            <w:r w:rsidR="00B343BA" w:rsidRPr="00AA19D0">
              <w:rPr>
                <w:rFonts w:ascii="Calibri" w:hAnsi="Calibri" w:cs="Calibri"/>
                <w:sz w:val="22"/>
                <w:szCs w:val="22"/>
              </w:rPr>
              <w:t>ist bei</w:t>
            </w:r>
            <w:r w:rsidRPr="00AA19D0">
              <w:rPr>
                <w:rFonts w:ascii="Calibri" w:hAnsi="Calibri" w:cs="Calibri"/>
                <w:sz w:val="22"/>
                <w:szCs w:val="22"/>
              </w:rPr>
              <w:t xml:space="preserve"> Kindern und Erwachsenen mit atopischer Dermatitis</w:t>
            </w:r>
            <w:r w:rsidR="00B343BA" w:rsidRPr="00AA19D0">
              <w:rPr>
                <w:rFonts w:ascii="Calibri" w:hAnsi="Calibri" w:cs="Calibri"/>
                <w:sz w:val="22"/>
                <w:szCs w:val="22"/>
              </w:rPr>
              <w:t xml:space="preserve"> </w:t>
            </w:r>
            <w:r w:rsidRPr="00AA19D0">
              <w:rPr>
                <w:rFonts w:ascii="Calibri" w:hAnsi="Calibri" w:cs="Calibri"/>
                <w:sz w:val="22"/>
                <w:szCs w:val="22"/>
              </w:rPr>
              <w:t xml:space="preserve">recht häufig. Es ist nicht erwiesen, dass der routinemäßige Einsatz von oralen Antibiotika zur Verringerung der Bakterienmenge auf der Haut die Symptome oder den Schweregrad der atopischen Dermatitis verringert. </w:t>
            </w:r>
            <w:r w:rsidR="00AA19D0" w:rsidRPr="00AA19D0">
              <w:rPr>
                <w:rFonts w:ascii="Calibri" w:hAnsi="Calibri" w:cs="Calibri"/>
                <w:sz w:val="22"/>
                <w:szCs w:val="22"/>
              </w:rPr>
              <w:t>(3,4)</w:t>
            </w:r>
          </w:p>
          <w:p w:rsidR="00D016D4" w:rsidRPr="00BD6ACD" w:rsidRDefault="004C59AA" w:rsidP="00CD4514">
            <w:pPr>
              <w:numPr>
                <w:ilvl w:val="0"/>
                <w:numId w:val="3"/>
              </w:numPr>
              <w:jc w:val="left"/>
              <w:rPr>
                <w:rFonts w:ascii="Calibri" w:hAnsi="Calibri" w:cs="Calibri"/>
                <w:sz w:val="22"/>
                <w:szCs w:val="22"/>
              </w:rPr>
            </w:pPr>
            <w:r w:rsidRPr="004C59AA">
              <w:rPr>
                <w:rFonts w:ascii="Calibri" w:hAnsi="Calibri" w:cs="Calibri"/>
                <w:sz w:val="22"/>
                <w:szCs w:val="22"/>
              </w:rPr>
              <w:t>Die überwiegende Me</w:t>
            </w:r>
            <w:r>
              <w:rPr>
                <w:rFonts w:ascii="Calibri" w:hAnsi="Calibri" w:cs="Calibri"/>
                <w:sz w:val="22"/>
                <w:szCs w:val="22"/>
              </w:rPr>
              <w:t>hrzahl</w:t>
            </w:r>
            <w:r w:rsidRPr="004C59AA">
              <w:rPr>
                <w:rFonts w:ascii="Calibri" w:hAnsi="Calibri" w:cs="Calibri"/>
                <w:sz w:val="22"/>
                <w:szCs w:val="22"/>
              </w:rPr>
              <w:t xml:space="preserve"> </w:t>
            </w:r>
            <w:r w:rsidR="007C271D">
              <w:rPr>
                <w:rFonts w:ascii="Calibri" w:hAnsi="Calibri" w:cs="Calibri"/>
                <w:sz w:val="22"/>
                <w:szCs w:val="22"/>
              </w:rPr>
              <w:t xml:space="preserve">entzündeter </w:t>
            </w:r>
            <w:proofErr w:type="spellStart"/>
            <w:r w:rsidRPr="004C59AA">
              <w:rPr>
                <w:rFonts w:ascii="Calibri" w:hAnsi="Calibri" w:cs="Calibri"/>
                <w:sz w:val="22"/>
                <w:szCs w:val="22"/>
              </w:rPr>
              <w:t>Epiderm</w:t>
            </w:r>
            <w:r w:rsidR="00762646">
              <w:rPr>
                <w:rFonts w:ascii="Calibri" w:hAnsi="Calibri" w:cs="Calibri"/>
                <w:sz w:val="22"/>
                <w:szCs w:val="22"/>
              </w:rPr>
              <w:t>oid</w:t>
            </w:r>
            <w:r w:rsidRPr="004C59AA">
              <w:rPr>
                <w:rFonts w:ascii="Calibri" w:hAnsi="Calibri" w:cs="Calibri"/>
                <w:sz w:val="22"/>
                <w:szCs w:val="22"/>
              </w:rPr>
              <w:t>zysten</w:t>
            </w:r>
            <w:proofErr w:type="spellEnd"/>
            <w:r w:rsidRPr="004C59AA">
              <w:rPr>
                <w:rFonts w:ascii="Calibri" w:hAnsi="Calibri" w:cs="Calibri"/>
                <w:sz w:val="22"/>
                <w:szCs w:val="22"/>
              </w:rPr>
              <w:t xml:space="preserve"> ist nicht infiziert</w:t>
            </w:r>
            <w:r w:rsidR="001F08B2">
              <w:rPr>
                <w:rFonts w:ascii="Calibri" w:hAnsi="Calibri" w:cs="Calibri"/>
                <w:sz w:val="22"/>
                <w:szCs w:val="22"/>
              </w:rPr>
              <w:t xml:space="preserve"> </w:t>
            </w:r>
            <w:r w:rsidR="001F08B2" w:rsidRPr="001F08B2">
              <w:rPr>
                <w:rFonts w:ascii="Calibri" w:hAnsi="Calibri" w:cs="Calibri"/>
                <w:sz w:val="22"/>
                <w:szCs w:val="22"/>
              </w:rPr>
              <w:t>(5,6)</w:t>
            </w:r>
          </w:p>
        </w:tc>
      </w:tr>
      <w:tr w:rsidR="00D57024" w:rsidRPr="00852AC4" w:rsidTr="00CD4514">
        <w:tc>
          <w:tcPr>
            <w:tcW w:w="2376" w:type="dxa"/>
            <w:shd w:val="clear" w:color="auto" w:fill="FFFFFF" w:themeFill="background1"/>
          </w:tcPr>
          <w:p w:rsidR="00D57024" w:rsidRPr="00581605" w:rsidRDefault="00CE0D58" w:rsidP="00CD4514">
            <w:pPr>
              <w:jc w:val="left"/>
              <w:rPr>
                <w:rFonts w:ascii="Calibri" w:hAnsi="Calibri" w:cs="Calibri"/>
                <w:b/>
              </w:rPr>
            </w:pPr>
            <w:r w:rsidRPr="00581605">
              <w:rPr>
                <w:rFonts w:ascii="Calibri" w:hAnsi="Calibri" w:cs="Calibri"/>
                <w:lang w:eastAsia="de-DE"/>
              </w:rPr>
              <w:t>Labor</w:t>
            </w:r>
            <w:r w:rsidR="002319C5">
              <w:rPr>
                <w:rFonts w:ascii="Calibri" w:hAnsi="Calibri" w:cs="Calibri"/>
                <w:lang w:eastAsia="de-DE"/>
              </w:rPr>
              <w:t>diagnostik</w:t>
            </w:r>
            <w:r w:rsidRPr="00581605">
              <w:rPr>
                <w:rFonts w:ascii="Calibri" w:hAnsi="Calibri" w:cs="Calibri"/>
                <w:lang w:eastAsia="de-DE"/>
              </w:rPr>
              <w:t xml:space="preserve"> </w:t>
            </w:r>
          </w:p>
        </w:tc>
        <w:tc>
          <w:tcPr>
            <w:tcW w:w="5699" w:type="dxa"/>
            <w:shd w:val="clear" w:color="auto" w:fill="FFFFFF"/>
          </w:tcPr>
          <w:p w:rsidR="00B748B6" w:rsidRPr="00104EDD" w:rsidRDefault="00B748B6" w:rsidP="00CD4514">
            <w:pPr>
              <w:numPr>
                <w:ilvl w:val="0"/>
                <w:numId w:val="3"/>
              </w:numPr>
              <w:jc w:val="left"/>
              <w:rPr>
                <w:rFonts w:ascii="Calibri" w:hAnsi="Calibri" w:cs="Calibri"/>
                <w:sz w:val="22"/>
                <w:szCs w:val="22"/>
              </w:rPr>
            </w:pPr>
            <w:r w:rsidRPr="00104EDD">
              <w:rPr>
                <w:rFonts w:ascii="Calibri" w:hAnsi="Calibri" w:cs="Calibri"/>
                <w:sz w:val="22"/>
                <w:szCs w:val="22"/>
              </w:rPr>
              <w:t xml:space="preserve">keine </w:t>
            </w:r>
            <w:proofErr w:type="spellStart"/>
            <w:r w:rsidR="00211389" w:rsidRPr="00104EDD">
              <w:rPr>
                <w:rFonts w:ascii="Calibri" w:hAnsi="Calibri" w:cs="Calibri"/>
                <w:sz w:val="22"/>
                <w:szCs w:val="22"/>
              </w:rPr>
              <w:t>Borrellien</w:t>
            </w:r>
            <w:proofErr w:type="spellEnd"/>
            <w:r w:rsidRPr="00104EDD">
              <w:rPr>
                <w:rFonts w:ascii="Calibri" w:hAnsi="Calibri" w:cs="Calibri"/>
                <w:sz w:val="22"/>
                <w:szCs w:val="22"/>
              </w:rPr>
              <w:t>-Serologie bei Patienten mit einer primären Erythema migrans-Läsion anordnen</w:t>
            </w:r>
          </w:p>
          <w:p w:rsidR="00F10AB0" w:rsidRPr="00762646" w:rsidRDefault="00211389" w:rsidP="00CD4514">
            <w:pPr>
              <w:numPr>
                <w:ilvl w:val="0"/>
                <w:numId w:val="3"/>
              </w:numPr>
              <w:jc w:val="left"/>
              <w:rPr>
                <w:rFonts w:ascii="Calibri" w:hAnsi="Calibri" w:cs="Calibri"/>
                <w:sz w:val="22"/>
                <w:szCs w:val="22"/>
              </w:rPr>
            </w:pPr>
            <w:r w:rsidRPr="00762646">
              <w:rPr>
                <w:rFonts w:ascii="Calibri" w:hAnsi="Calibri" w:cs="Calibri"/>
                <w:sz w:val="22"/>
                <w:szCs w:val="22"/>
              </w:rPr>
              <w:t xml:space="preserve">keine </w:t>
            </w:r>
            <w:proofErr w:type="spellStart"/>
            <w:r w:rsidRPr="00762646">
              <w:rPr>
                <w:rFonts w:ascii="Calibri" w:hAnsi="Calibri" w:cs="Calibri"/>
                <w:sz w:val="22"/>
                <w:szCs w:val="22"/>
              </w:rPr>
              <w:t>Borrellien</w:t>
            </w:r>
            <w:proofErr w:type="spellEnd"/>
            <w:r w:rsidRPr="00762646">
              <w:rPr>
                <w:rFonts w:ascii="Calibri" w:hAnsi="Calibri" w:cs="Calibri"/>
                <w:sz w:val="22"/>
                <w:szCs w:val="22"/>
              </w:rPr>
              <w:t>-Serologie ohne typische Anamnese und Klinik veranlassen</w:t>
            </w:r>
          </w:p>
          <w:p w:rsidR="00F10AB0" w:rsidRPr="00104EDD" w:rsidRDefault="00F10AB0" w:rsidP="00CD4514">
            <w:pPr>
              <w:jc w:val="left"/>
              <w:rPr>
                <w:rFonts w:ascii="Calibri" w:hAnsi="Calibri" w:cs="Calibri"/>
                <w:sz w:val="22"/>
                <w:szCs w:val="22"/>
              </w:rPr>
            </w:pPr>
          </w:p>
          <w:p w:rsidR="00F10AB0" w:rsidRPr="00104EDD" w:rsidRDefault="00F10AB0" w:rsidP="00CD4514">
            <w:pPr>
              <w:jc w:val="left"/>
              <w:rPr>
                <w:rFonts w:ascii="Calibri" w:hAnsi="Calibri" w:cs="Calibri"/>
                <w:sz w:val="22"/>
                <w:szCs w:val="22"/>
              </w:rPr>
            </w:pPr>
          </w:p>
          <w:p w:rsidR="00F10AB0" w:rsidRPr="00104EDD" w:rsidRDefault="00F10AB0" w:rsidP="00CD4514">
            <w:pPr>
              <w:jc w:val="left"/>
              <w:rPr>
                <w:rFonts w:ascii="Calibri" w:hAnsi="Calibri" w:cs="Calibri"/>
                <w:sz w:val="22"/>
                <w:szCs w:val="22"/>
              </w:rPr>
            </w:pPr>
          </w:p>
          <w:p w:rsidR="00F10AB0" w:rsidRPr="00104EDD" w:rsidRDefault="00F10AB0" w:rsidP="00CD4514">
            <w:pPr>
              <w:jc w:val="left"/>
              <w:rPr>
                <w:rFonts w:ascii="Calibri" w:hAnsi="Calibri" w:cs="Calibri"/>
                <w:sz w:val="22"/>
                <w:szCs w:val="22"/>
              </w:rPr>
            </w:pPr>
          </w:p>
          <w:p w:rsidR="00F10AB0" w:rsidRPr="00104EDD" w:rsidRDefault="00F10AB0" w:rsidP="00CD4514">
            <w:pPr>
              <w:jc w:val="left"/>
              <w:rPr>
                <w:rFonts w:ascii="Calibri" w:hAnsi="Calibri" w:cs="Calibri"/>
                <w:sz w:val="22"/>
                <w:szCs w:val="22"/>
              </w:rPr>
            </w:pPr>
          </w:p>
          <w:p w:rsidR="00F10AB0" w:rsidRPr="00104EDD" w:rsidRDefault="00F10AB0" w:rsidP="00CD4514">
            <w:pPr>
              <w:jc w:val="left"/>
              <w:rPr>
                <w:rFonts w:ascii="Calibri" w:hAnsi="Calibri" w:cs="Calibri"/>
                <w:sz w:val="22"/>
                <w:szCs w:val="22"/>
              </w:rPr>
            </w:pPr>
          </w:p>
          <w:p w:rsidR="00F10AB0" w:rsidRPr="00104EDD" w:rsidRDefault="00F10AB0" w:rsidP="00CD4514">
            <w:pPr>
              <w:jc w:val="left"/>
              <w:rPr>
                <w:rFonts w:ascii="Calibri" w:hAnsi="Calibri" w:cs="Calibri"/>
                <w:sz w:val="22"/>
                <w:szCs w:val="22"/>
              </w:rPr>
            </w:pPr>
          </w:p>
          <w:p w:rsidR="00F10AB0" w:rsidRPr="00104EDD" w:rsidRDefault="00F10AB0" w:rsidP="00CD4514">
            <w:pPr>
              <w:jc w:val="left"/>
              <w:rPr>
                <w:rFonts w:ascii="Calibri" w:hAnsi="Calibri" w:cs="Calibri"/>
                <w:sz w:val="22"/>
                <w:szCs w:val="22"/>
              </w:rPr>
            </w:pPr>
          </w:p>
          <w:p w:rsidR="00F10AB0" w:rsidRPr="00104EDD" w:rsidRDefault="00F10AB0" w:rsidP="00CD4514">
            <w:pPr>
              <w:numPr>
                <w:ilvl w:val="0"/>
                <w:numId w:val="3"/>
              </w:numPr>
              <w:jc w:val="left"/>
              <w:rPr>
                <w:rFonts w:ascii="Calibri" w:hAnsi="Calibri" w:cs="Calibri"/>
                <w:sz w:val="22"/>
                <w:szCs w:val="22"/>
              </w:rPr>
            </w:pPr>
            <w:r w:rsidRPr="00104EDD">
              <w:rPr>
                <w:rFonts w:ascii="Calibri" w:hAnsi="Calibri" w:cs="Calibri"/>
                <w:sz w:val="22"/>
                <w:szCs w:val="22"/>
              </w:rPr>
              <w:t xml:space="preserve">keine routinemäßigen Labortests für assoziierte Autoimmunerkrankungen bei Patienten mit Vitiligo oder </w:t>
            </w:r>
            <w:proofErr w:type="spellStart"/>
            <w:r w:rsidRPr="00104EDD">
              <w:rPr>
                <w:rFonts w:ascii="Calibri" w:hAnsi="Calibri" w:cs="Calibri"/>
                <w:sz w:val="22"/>
                <w:szCs w:val="22"/>
              </w:rPr>
              <w:t>Alopezia</w:t>
            </w:r>
            <w:proofErr w:type="spellEnd"/>
            <w:r w:rsidRPr="00104EDD">
              <w:rPr>
                <w:rFonts w:ascii="Calibri" w:hAnsi="Calibri" w:cs="Calibri"/>
                <w:sz w:val="22"/>
                <w:szCs w:val="22"/>
              </w:rPr>
              <w:t xml:space="preserve"> areata anordnen, wenn keine Anzeichen und/oder Symptome der betreffenden Krankheiten vorliegen</w:t>
            </w:r>
          </w:p>
        </w:tc>
        <w:tc>
          <w:tcPr>
            <w:tcW w:w="6634" w:type="dxa"/>
            <w:shd w:val="clear" w:color="auto" w:fill="FFFFFF"/>
          </w:tcPr>
          <w:p w:rsidR="007C271D" w:rsidRPr="001152F5" w:rsidRDefault="00181D37" w:rsidP="00CD4514">
            <w:pPr>
              <w:numPr>
                <w:ilvl w:val="0"/>
                <w:numId w:val="3"/>
              </w:numPr>
              <w:jc w:val="left"/>
              <w:rPr>
                <w:rFonts w:ascii="Calibri" w:hAnsi="Calibri" w:cs="Calibri"/>
                <w:sz w:val="22"/>
                <w:szCs w:val="22"/>
              </w:rPr>
            </w:pPr>
            <w:r w:rsidRPr="001152F5">
              <w:rPr>
                <w:rFonts w:ascii="Calibri" w:hAnsi="Calibri" w:cs="Calibri"/>
                <w:sz w:val="22"/>
                <w:szCs w:val="22"/>
              </w:rPr>
              <w:lastRenderedPageBreak/>
              <w:t>d</w:t>
            </w:r>
            <w:r w:rsidR="00F10AB0" w:rsidRPr="001152F5">
              <w:rPr>
                <w:rFonts w:ascii="Calibri" w:hAnsi="Calibri" w:cs="Calibri"/>
                <w:sz w:val="22"/>
                <w:szCs w:val="22"/>
              </w:rPr>
              <w:t xml:space="preserve">ie </w:t>
            </w:r>
            <w:proofErr w:type="spellStart"/>
            <w:r w:rsidR="00F10AB0" w:rsidRPr="001152F5">
              <w:rPr>
                <w:rFonts w:ascii="Calibri" w:hAnsi="Calibri" w:cs="Calibri"/>
                <w:sz w:val="22"/>
                <w:szCs w:val="22"/>
              </w:rPr>
              <w:t>Lyme</w:t>
            </w:r>
            <w:proofErr w:type="spellEnd"/>
            <w:r w:rsidR="00F10AB0" w:rsidRPr="001152F5">
              <w:rPr>
                <w:rFonts w:ascii="Calibri" w:hAnsi="Calibri" w:cs="Calibri"/>
                <w:sz w:val="22"/>
                <w:szCs w:val="22"/>
              </w:rPr>
              <w:t xml:space="preserve">-Borreliose manifestiert sich am </w:t>
            </w:r>
          </w:p>
          <w:p w:rsidR="00104EDD" w:rsidRPr="00614419" w:rsidRDefault="00F10AB0" w:rsidP="00CD4514">
            <w:pPr>
              <w:ind w:left="720"/>
              <w:jc w:val="left"/>
              <w:rPr>
                <w:rFonts w:ascii="Calibri" w:hAnsi="Calibri" w:cs="Calibri"/>
                <w:sz w:val="22"/>
                <w:szCs w:val="22"/>
              </w:rPr>
            </w:pPr>
            <w:r w:rsidRPr="001152F5">
              <w:rPr>
                <w:rFonts w:ascii="Calibri" w:hAnsi="Calibri" w:cs="Calibri"/>
                <w:sz w:val="22"/>
                <w:szCs w:val="22"/>
              </w:rPr>
              <w:t xml:space="preserve">Bewegungsapparat als eine oft rekurrierende Mono-der Oligoarthritis großer Gelenke mit bevorzugtem Befall der Kniegelenke. Ein vorangegangenes Erythema migrans ist ein wichtiger anamnestischer Hinweis, fehlt aber häufig. Die Durchführung einer Borrelien-Serologie ohne entsprechende Symptomatik bedingt aufgrund der </w:t>
            </w:r>
            <w:proofErr w:type="spellStart"/>
            <w:r w:rsidRPr="001152F5">
              <w:rPr>
                <w:rFonts w:ascii="Calibri" w:hAnsi="Calibri" w:cs="Calibri"/>
                <w:sz w:val="22"/>
                <w:szCs w:val="22"/>
              </w:rPr>
              <w:t>Seroprävalenz</w:t>
            </w:r>
            <w:proofErr w:type="spellEnd"/>
            <w:r w:rsidRPr="001152F5">
              <w:rPr>
                <w:rFonts w:ascii="Calibri" w:hAnsi="Calibri" w:cs="Calibri"/>
                <w:sz w:val="22"/>
                <w:szCs w:val="22"/>
              </w:rPr>
              <w:t xml:space="preserve"> in der Bevölkerung („Durchseuchungstiter“) eine hohe Wahrscheinlichkeit von Fehldiagnosen. Chronische </w:t>
            </w:r>
            <w:r w:rsidRPr="001152F5">
              <w:rPr>
                <w:rFonts w:ascii="Calibri" w:hAnsi="Calibri" w:cs="Calibri"/>
                <w:sz w:val="22"/>
                <w:szCs w:val="22"/>
              </w:rPr>
              <w:lastRenderedPageBreak/>
              <w:t xml:space="preserve">muskuloskelettale Schmerzsyndrome wie zum Beispiel ein Fibromyalgie- Syndrom sind keine Diagnosekriterien für eine </w:t>
            </w:r>
            <w:proofErr w:type="spellStart"/>
            <w:r w:rsidRPr="001152F5">
              <w:rPr>
                <w:rFonts w:ascii="Calibri" w:hAnsi="Calibri" w:cs="Calibri"/>
                <w:sz w:val="22"/>
                <w:szCs w:val="22"/>
              </w:rPr>
              <w:t>Lyme</w:t>
            </w:r>
            <w:proofErr w:type="spellEnd"/>
            <w:r w:rsidRPr="001152F5">
              <w:rPr>
                <w:rFonts w:ascii="Calibri" w:hAnsi="Calibri" w:cs="Calibri"/>
                <w:sz w:val="22"/>
                <w:szCs w:val="22"/>
              </w:rPr>
              <w:t>-Borreliose</w:t>
            </w:r>
            <w:r w:rsidR="00295920" w:rsidRPr="001152F5">
              <w:rPr>
                <w:rFonts w:ascii="Calibri" w:hAnsi="Calibri" w:cs="Calibri"/>
                <w:sz w:val="22"/>
                <w:szCs w:val="22"/>
              </w:rPr>
              <w:t xml:space="preserve"> (7</w:t>
            </w:r>
            <w:r w:rsidR="00E2584D" w:rsidRPr="001152F5">
              <w:rPr>
                <w:rFonts w:ascii="Calibri" w:hAnsi="Calibri" w:cs="Calibri"/>
                <w:sz w:val="22"/>
                <w:szCs w:val="22"/>
              </w:rPr>
              <w:t>,8</w:t>
            </w:r>
            <w:r w:rsidR="00295920" w:rsidRPr="001152F5">
              <w:rPr>
                <w:rFonts w:ascii="Calibri" w:hAnsi="Calibri" w:cs="Calibri"/>
                <w:sz w:val="22"/>
                <w:szCs w:val="22"/>
              </w:rPr>
              <w:t>)</w:t>
            </w:r>
          </w:p>
          <w:p w:rsidR="00AC0EB5" w:rsidRPr="00614419" w:rsidRDefault="00AC0EB5" w:rsidP="00CD4514">
            <w:pPr>
              <w:numPr>
                <w:ilvl w:val="0"/>
                <w:numId w:val="3"/>
              </w:numPr>
              <w:jc w:val="left"/>
              <w:rPr>
                <w:rFonts w:ascii="Calibri" w:hAnsi="Calibri" w:cs="Calibri"/>
                <w:sz w:val="22"/>
                <w:szCs w:val="22"/>
              </w:rPr>
            </w:pPr>
            <w:r w:rsidRPr="00104EDD">
              <w:rPr>
                <w:rFonts w:ascii="Calibri" w:hAnsi="Calibri" w:cs="Calibri"/>
                <w:sz w:val="22"/>
                <w:szCs w:val="22"/>
              </w:rPr>
              <w:t xml:space="preserve">Es </w:t>
            </w:r>
            <w:r w:rsidR="00C31A5C">
              <w:rPr>
                <w:rFonts w:ascii="Calibri" w:hAnsi="Calibri" w:cs="Calibri"/>
                <w:sz w:val="22"/>
                <w:szCs w:val="22"/>
              </w:rPr>
              <w:t>fehlen</w:t>
            </w:r>
            <w:r w:rsidRPr="00104EDD">
              <w:rPr>
                <w:rFonts w:ascii="Calibri" w:hAnsi="Calibri" w:cs="Calibri"/>
                <w:sz w:val="22"/>
                <w:szCs w:val="22"/>
              </w:rPr>
              <w:t xml:space="preserve"> überzeugenden Beweise dafür, dass umfangreiche Untersuchungen </w:t>
            </w:r>
            <w:r w:rsidR="00C320EC">
              <w:rPr>
                <w:rFonts w:ascii="Calibri" w:hAnsi="Calibri" w:cs="Calibri"/>
                <w:sz w:val="22"/>
                <w:szCs w:val="22"/>
              </w:rPr>
              <w:t>ohne</w:t>
            </w:r>
            <w:r w:rsidRPr="00104EDD">
              <w:rPr>
                <w:rFonts w:ascii="Calibri" w:hAnsi="Calibri" w:cs="Calibri"/>
                <w:sz w:val="22"/>
                <w:szCs w:val="22"/>
              </w:rPr>
              <w:t xml:space="preserve"> klinischen Verdacht die </w:t>
            </w:r>
            <w:r w:rsidR="00C320EC">
              <w:rPr>
                <w:rFonts w:ascii="Calibri" w:hAnsi="Calibri" w:cs="Calibri"/>
                <w:sz w:val="22"/>
                <w:szCs w:val="22"/>
              </w:rPr>
              <w:t>Behandlungse</w:t>
            </w:r>
            <w:r w:rsidRPr="00104EDD">
              <w:rPr>
                <w:rFonts w:ascii="Calibri" w:hAnsi="Calibri" w:cs="Calibri"/>
                <w:sz w:val="22"/>
                <w:szCs w:val="22"/>
              </w:rPr>
              <w:t>rgebnisse für die Patienten verbessern</w:t>
            </w:r>
            <w:r w:rsidR="007C271D">
              <w:rPr>
                <w:rFonts w:ascii="Calibri" w:hAnsi="Calibri" w:cs="Calibri"/>
                <w:sz w:val="22"/>
                <w:szCs w:val="22"/>
              </w:rPr>
              <w:t xml:space="preserve"> </w:t>
            </w:r>
            <w:r w:rsidR="00BA6DD0" w:rsidRPr="00B3248D">
              <w:rPr>
                <w:rFonts w:ascii="Calibri" w:hAnsi="Calibri" w:cs="Calibri"/>
                <w:sz w:val="22"/>
                <w:szCs w:val="22"/>
              </w:rPr>
              <w:t>(9,10,11,12</w:t>
            </w:r>
            <w:r w:rsidR="00D1390E">
              <w:rPr>
                <w:rFonts w:ascii="Calibri" w:hAnsi="Calibri" w:cs="Calibri"/>
                <w:sz w:val="22"/>
                <w:szCs w:val="22"/>
              </w:rPr>
              <w:t>,13,14</w:t>
            </w:r>
            <w:r w:rsidR="00E2584D">
              <w:rPr>
                <w:rFonts w:ascii="Calibri" w:hAnsi="Calibri" w:cs="Calibri"/>
                <w:sz w:val="22"/>
                <w:szCs w:val="22"/>
              </w:rPr>
              <w:t>,15</w:t>
            </w:r>
            <w:r w:rsidR="00BA6DD0" w:rsidRPr="00B3248D">
              <w:rPr>
                <w:rFonts w:ascii="Calibri" w:hAnsi="Calibri" w:cs="Calibri"/>
                <w:sz w:val="22"/>
                <w:szCs w:val="22"/>
              </w:rPr>
              <w:t>)</w:t>
            </w:r>
          </w:p>
        </w:tc>
      </w:tr>
      <w:tr w:rsidR="00557DCF" w:rsidRPr="00852AC4" w:rsidTr="00CD4514">
        <w:tc>
          <w:tcPr>
            <w:tcW w:w="2376" w:type="dxa"/>
            <w:shd w:val="clear" w:color="auto" w:fill="FFFFFF" w:themeFill="background1"/>
          </w:tcPr>
          <w:p w:rsidR="00557DCF" w:rsidRPr="00581605" w:rsidRDefault="00557DCF" w:rsidP="00CD4514">
            <w:pPr>
              <w:jc w:val="left"/>
              <w:rPr>
                <w:rFonts w:ascii="Calibri" w:hAnsi="Calibri" w:cs="Calibri"/>
                <w:lang w:eastAsia="de-DE"/>
              </w:rPr>
            </w:pPr>
            <w:r>
              <w:rPr>
                <w:rFonts w:ascii="Calibri" w:hAnsi="Calibri" w:cs="Calibri"/>
                <w:lang w:eastAsia="de-DE"/>
              </w:rPr>
              <w:lastRenderedPageBreak/>
              <w:t xml:space="preserve">Diagnostik und Therapie </w:t>
            </w:r>
          </w:p>
        </w:tc>
        <w:tc>
          <w:tcPr>
            <w:tcW w:w="5699" w:type="dxa"/>
            <w:shd w:val="clear" w:color="auto" w:fill="FFFFFF"/>
          </w:tcPr>
          <w:p w:rsidR="00557DCF" w:rsidRPr="00104EDD" w:rsidRDefault="00557DCF" w:rsidP="00CD4514">
            <w:pPr>
              <w:numPr>
                <w:ilvl w:val="0"/>
                <w:numId w:val="5"/>
              </w:numPr>
              <w:jc w:val="left"/>
              <w:rPr>
                <w:rFonts w:ascii="Calibri" w:hAnsi="Calibri" w:cs="Calibri"/>
                <w:sz w:val="22"/>
                <w:szCs w:val="22"/>
              </w:rPr>
            </w:pPr>
            <w:r w:rsidRPr="00557DCF">
              <w:rPr>
                <w:rFonts w:ascii="Calibri" w:hAnsi="Calibri" w:cs="Calibri"/>
                <w:sz w:val="22"/>
                <w:szCs w:val="22"/>
              </w:rPr>
              <w:t xml:space="preserve">unkomplizierte </w:t>
            </w:r>
            <w:r>
              <w:rPr>
                <w:rFonts w:ascii="Calibri" w:hAnsi="Calibri" w:cs="Calibri"/>
                <w:sz w:val="22"/>
                <w:szCs w:val="22"/>
              </w:rPr>
              <w:t>NMSC</w:t>
            </w:r>
            <w:r w:rsidRPr="00557DCF">
              <w:rPr>
                <w:rFonts w:ascii="Calibri" w:hAnsi="Calibri" w:cs="Calibri"/>
                <w:sz w:val="22"/>
                <w:szCs w:val="22"/>
              </w:rPr>
              <w:t xml:space="preserve"> (BCC oder SCC) von weniger als </w:t>
            </w:r>
            <w:r w:rsidR="003D25D4">
              <w:rPr>
                <w:rFonts w:ascii="Calibri" w:hAnsi="Calibri" w:cs="Calibri"/>
                <w:sz w:val="22"/>
                <w:szCs w:val="22"/>
              </w:rPr>
              <w:t>1 cm</w:t>
            </w:r>
            <w:r w:rsidRPr="00557DCF">
              <w:rPr>
                <w:rFonts w:ascii="Calibri" w:hAnsi="Calibri" w:cs="Calibri"/>
                <w:sz w:val="22"/>
                <w:szCs w:val="22"/>
              </w:rPr>
              <w:t xml:space="preserve"> </w:t>
            </w:r>
            <w:r w:rsidR="003D25D4">
              <w:rPr>
                <w:rFonts w:ascii="Calibri" w:hAnsi="Calibri" w:cs="Calibri"/>
                <w:sz w:val="22"/>
                <w:szCs w:val="22"/>
              </w:rPr>
              <w:t>Durchmesser</w:t>
            </w:r>
            <w:r w:rsidRPr="00557DCF">
              <w:rPr>
                <w:rFonts w:ascii="Calibri" w:hAnsi="Calibri" w:cs="Calibri"/>
                <w:sz w:val="22"/>
                <w:szCs w:val="22"/>
              </w:rPr>
              <w:t xml:space="preserve"> am Rumpf und an den Extremitäten bei ansonsten gesunden Personen nicht mit der mikrographischen Chirurgie nach Mohs</w:t>
            </w:r>
            <w:r w:rsidR="003D25D4">
              <w:rPr>
                <w:rFonts w:ascii="Calibri" w:hAnsi="Calibri" w:cs="Calibri"/>
                <w:sz w:val="22"/>
                <w:szCs w:val="22"/>
              </w:rPr>
              <w:t xml:space="preserve"> behandeln</w:t>
            </w:r>
          </w:p>
        </w:tc>
        <w:tc>
          <w:tcPr>
            <w:tcW w:w="6634" w:type="dxa"/>
            <w:shd w:val="clear" w:color="auto" w:fill="FFFFFF"/>
          </w:tcPr>
          <w:p w:rsidR="00557DCF" w:rsidRPr="00BD6ACD" w:rsidRDefault="003D25D4" w:rsidP="00CD4514">
            <w:pPr>
              <w:numPr>
                <w:ilvl w:val="0"/>
                <w:numId w:val="5"/>
              </w:numPr>
              <w:jc w:val="left"/>
              <w:rPr>
                <w:rFonts w:ascii="Calibri" w:hAnsi="Calibri" w:cs="Calibri"/>
                <w:sz w:val="22"/>
                <w:szCs w:val="22"/>
              </w:rPr>
            </w:pPr>
            <w:r w:rsidRPr="00BD6ACD">
              <w:rPr>
                <w:rFonts w:ascii="Calibri" w:hAnsi="Calibri" w:cs="Calibri"/>
                <w:sz w:val="22"/>
                <w:szCs w:val="22"/>
              </w:rPr>
              <w:t xml:space="preserve">In diesen Körperregionen übersteigt der klinische Nutzen dieses speziellen chirurgischen Verfahrens </w:t>
            </w:r>
            <w:r w:rsidR="00141605" w:rsidRPr="00BD6ACD">
              <w:rPr>
                <w:rFonts w:ascii="Calibri" w:hAnsi="Calibri" w:cs="Calibri"/>
                <w:sz w:val="22"/>
                <w:szCs w:val="22"/>
              </w:rPr>
              <w:t xml:space="preserve">bei kleinen </w:t>
            </w:r>
            <w:proofErr w:type="spellStart"/>
            <w:r w:rsidR="00141605" w:rsidRPr="00BD6ACD">
              <w:rPr>
                <w:rFonts w:ascii="Calibri" w:hAnsi="Calibri" w:cs="Calibri"/>
                <w:sz w:val="22"/>
                <w:szCs w:val="22"/>
              </w:rPr>
              <w:t>BCC‘s</w:t>
            </w:r>
            <w:proofErr w:type="spellEnd"/>
            <w:r w:rsidR="00141605" w:rsidRPr="00BD6ACD">
              <w:rPr>
                <w:rFonts w:ascii="Calibri" w:hAnsi="Calibri" w:cs="Calibri"/>
                <w:sz w:val="22"/>
                <w:szCs w:val="22"/>
              </w:rPr>
              <w:t xml:space="preserve"> und </w:t>
            </w:r>
            <w:proofErr w:type="spellStart"/>
            <w:r w:rsidR="00141605" w:rsidRPr="00BD6ACD">
              <w:rPr>
                <w:rFonts w:ascii="Calibri" w:hAnsi="Calibri" w:cs="Calibri"/>
                <w:sz w:val="22"/>
                <w:szCs w:val="22"/>
              </w:rPr>
              <w:t>SCC’s</w:t>
            </w:r>
            <w:proofErr w:type="spellEnd"/>
            <w:r w:rsidR="00141605" w:rsidRPr="00BD6ACD">
              <w:rPr>
                <w:rFonts w:ascii="Calibri" w:hAnsi="Calibri" w:cs="Calibri"/>
                <w:sz w:val="22"/>
                <w:szCs w:val="22"/>
              </w:rPr>
              <w:t xml:space="preserve"> </w:t>
            </w:r>
            <w:r w:rsidRPr="00BD6ACD">
              <w:rPr>
                <w:rFonts w:ascii="Calibri" w:hAnsi="Calibri" w:cs="Calibri"/>
                <w:sz w:val="22"/>
                <w:szCs w:val="22"/>
              </w:rPr>
              <w:t>nicht die möglichen Risiken</w:t>
            </w:r>
            <w:r w:rsidR="00E070CA">
              <w:rPr>
                <w:rFonts w:ascii="Calibri" w:hAnsi="Calibri" w:cs="Calibri"/>
                <w:sz w:val="22"/>
                <w:szCs w:val="22"/>
              </w:rPr>
              <w:t xml:space="preserve"> (16,17)</w:t>
            </w:r>
          </w:p>
        </w:tc>
      </w:tr>
      <w:tr w:rsidR="00D57024" w:rsidRPr="00852AC4" w:rsidTr="00CD4514">
        <w:tc>
          <w:tcPr>
            <w:tcW w:w="2376" w:type="dxa"/>
            <w:shd w:val="clear" w:color="auto" w:fill="FFFFFF" w:themeFill="background1"/>
          </w:tcPr>
          <w:p w:rsidR="00D57024" w:rsidRPr="00581605" w:rsidRDefault="00CE0D58" w:rsidP="00CD4514">
            <w:pPr>
              <w:jc w:val="left"/>
              <w:rPr>
                <w:rFonts w:ascii="Calibri" w:hAnsi="Calibri" w:cs="Calibri"/>
                <w:b/>
              </w:rPr>
            </w:pPr>
            <w:r w:rsidRPr="00581605">
              <w:rPr>
                <w:rFonts w:ascii="Calibri" w:hAnsi="Calibri" w:cs="Calibri"/>
                <w:lang w:eastAsia="de-DE"/>
              </w:rPr>
              <w:t xml:space="preserve">Angepasste Mengen </w:t>
            </w:r>
            <w:r w:rsidR="00D81068">
              <w:rPr>
                <w:rFonts w:ascii="Calibri" w:hAnsi="Calibri" w:cs="Calibri"/>
                <w:lang w:eastAsia="de-DE"/>
              </w:rPr>
              <w:t xml:space="preserve">von </w:t>
            </w:r>
            <w:r w:rsidRPr="00581605">
              <w:rPr>
                <w:rFonts w:ascii="Calibri" w:hAnsi="Calibri" w:cs="Calibri"/>
                <w:lang w:eastAsia="de-DE"/>
              </w:rPr>
              <w:t>Medikamente</w:t>
            </w:r>
            <w:r w:rsidR="00D81068">
              <w:rPr>
                <w:rFonts w:ascii="Calibri" w:hAnsi="Calibri" w:cs="Calibri"/>
                <w:lang w:eastAsia="de-DE"/>
              </w:rPr>
              <w:t>n</w:t>
            </w:r>
            <w:r w:rsidRPr="00581605">
              <w:rPr>
                <w:rFonts w:ascii="Calibri" w:hAnsi="Calibri" w:cs="Calibri"/>
                <w:lang w:eastAsia="de-DE"/>
              </w:rPr>
              <w:t xml:space="preserve"> </w:t>
            </w:r>
          </w:p>
        </w:tc>
        <w:tc>
          <w:tcPr>
            <w:tcW w:w="5699" w:type="dxa"/>
            <w:shd w:val="clear" w:color="auto" w:fill="FFFFFF"/>
          </w:tcPr>
          <w:p w:rsidR="00D81068" w:rsidRPr="00F168F9" w:rsidRDefault="006D0ABD" w:rsidP="00CD4514">
            <w:pPr>
              <w:numPr>
                <w:ilvl w:val="0"/>
                <w:numId w:val="5"/>
              </w:numPr>
              <w:jc w:val="left"/>
              <w:rPr>
                <w:rFonts w:ascii="Calibri" w:hAnsi="Calibri" w:cs="Calibri"/>
                <w:sz w:val="22"/>
                <w:szCs w:val="22"/>
              </w:rPr>
            </w:pPr>
            <w:r w:rsidRPr="00F168F9">
              <w:rPr>
                <w:rFonts w:ascii="Calibri" w:hAnsi="Calibri" w:cs="Calibri"/>
                <w:sz w:val="22"/>
                <w:szCs w:val="22"/>
              </w:rPr>
              <w:t xml:space="preserve">Keine </w:t>
            </w:r>
            <w:r w:rsidR="00D81068" w:rsidRPr="00F168F9">
              <w:rPr>
                <w:rFonts w:ascii="Calibri" w:hAnsi="Calibri" w:cs="Calibri"/>
                <w:sz w:val="22"/>
                <w:szCs w:val="22"/>
              </w:rPr>
              <w:t>überdimensionierten</w:t>
            </w:r>
            <w:r w:rsidRPr="00F168F9">
              <w:rPr>
                <w:rFonts w:ascii="Calibri" w:hAnsi="Calibri" w:cs="Calibri"/>
                <w:sz w:val="22"/>
                <w:szCs w:val="22"/>
              </w:rPr>
              <w:t xml:space="preserve"> </w:t>
            </w:r>
            <w:r w:rsidR="00D81068" w:rsidRPr="00F168F9">
              <w:rPr>
                <w:rFonts w:ascii="Calibri" w:hAnsi="Calibri" w:cs="Calibri"/>
                <w:sz w:val="22"/>
                <w:szCs w:val="22"/>
              </w:rPr>
              <w:t>Packungsgrößen verordnen</w:t>
            </w:r>
          </w:p>
          <w:p w:rsidR="00D81068" w:rsidRPr="00104EDD" w:rsidRDefault="00D81068" w:rsidP="00CD4514">
            <w:pPr>
              <w:numPr>
                <w:ilvl w:val="0"/>
                <w:numId w:val="5"/>
              </w:numPr>
              <w:jc w:val="left"/>
              <w:rPr>
                <w:rFonts w:ascii="Calibri" w:hAnsi="Calibri" w:cs="Calibri"/>
                <w:sz w:val="22"/>
                <w:szCs w:val="22"/>
              </w:rPr>
            </w:pPr>
            <w:r>
              <w:rPr>
                <w:rFonts w:ascii="Calibri" w:hAnsi="Calibri" w:cs="Calibri"/>
                <w:sz w:val="22"/>
                <w:szCs w:val="22"/>
              </w:rPr>
              <w:t xml:space="preserve">bei großflächiger externer Therapie ggf. alternativ </w:t>
            </w:r>
            <w:proofErr w:type="spellStart"/>
            <w:r>
              <w:rPr>
                <w:rFonts w:ascii="Calibri" w:hAnsi="Calibri" w:cs="Calibri"/>
                <w:sz w:val="22"/>
                <w:szCs w:val="22"/>
              </w:rPr>
              <w:t>Magistralrezepturen</w:t>
            </w:r>
            <w:proofErr w:type="spellEnd"/>
            <w:r>
              <w:rPr>
                <w:rFonts w:ascii="Calibri" w:hAnsi="Calibri" w:cs="Calibri"/>
                <w:sz w:val="22"/>
                <w:szCs w:val="22"/>
              </w:rPr>
              <w:t xml:space="preserve"> verordnen</w:t>
            </w:r>
          </w:p>
        </w:tc>
        <w:tc>
          <w:tcPr>
            <w:tcW w:w="6634" w:type="dxa"/>
            <w:shd w:val="clear" w:color="auto" w:fill="FFFFFF"/>
          </w:tcPr>
          <w:p w:rsidR="00D57024" w:rsidRDefault="00D81068" w:rsidP="00CD4514">
            <w:pPr>
              <w:numPr>
                <w:ilvl w:val="0"/>
                <w:numId w:val="5"/>
              </w:numPr>
              <w:jc w:val="left"/>
              <w:rPr>
                <w:rFonts w:ascii="Calibri" w:hAnsi="Calibri" w:cs="Calibri"/>
                <w:sz w:val="22"/>
                <w:szCs w:val="22"/>
              </w:rPr>
            </w:pPr>
            <w:r>
              <w:rPr>
                <w:rFonts w:ascii="Calibri" w:hAnsi="Calibri" w:cs="Calibri"/>
                <w:sz w:val="22"/>
                <w:szCs w:val="22"/>
              </w:rPr>
              <w:t xml:space="preserve">emissionsintensive Herstellung und Entsorgung von Medikamenten Medikamente </w:t>
            </w:r>
          </w:p>
          <w:p w:rsidR="00D81068" w:rsidRPr="00104EDD" w:rsidRDefault="00D81068" w:rsidP="00CD4514">
            <w:pPr>
              <w:numPr>
                <w:ilvl w:val="0"/>
                <w:numId w:val="5"/>
              </w:numPr>
              <w:jc w:val="left"/>
              <w:rPr>
                <w:rFonts w:ascii="Calibri" w:hAnsi="Calibri" w:cs="Calibri"/>
                <w:sz w:val="22"/>
                <w:szCs w:val="22"/>
              </w:rPr>
            </w:pPr>
            <w:r>
              <w:rPr>
                <w:rFonts w:ascii="Calibri" w:hAnsi="Calibri" w:cs="Calibri"/>
                <w:sz w:val="22"/>
                <w:szCs w:val="22"/>
              </w:rPr>
              <w:t xml:space="preserve">geringerer Anfall von (Kunststoff)-Verpackungsmüll </w:t>
            </w:r>
          </w:p>
        </w:tc>
      </w:tr>
      <w:tr w:rsidR="00D57024" w:rsidRPr="00852AC4" w:rsidTr="00CD4514">
        <w:tc>
          <w:tcPr>
            <w:tcW w:w="2376" w:type="dxa"/>
            <w:shd w:val="clear" w:color="auto" w:fill="FFFFFF" w:themeFill="background1"/>
          </w:tcPr>
          <w:p w:rsidR="00D57024" w:rsidRDefault="00CE0D58" w:rsidP="00CD4514">
            <w:pPr>
              <w:suppressAutoHyphens w:val="0"/>
              <w:spacing w:before="100" w:beforeAutospacing="1"/>
              <w:jc w:val="left"/>
              <w:rPr>
                <w:rFonts w:ascii="Calibri" w:hAnsi="Calibri" w:cs="Calibri"/>
                <w:lang w:eastAsia="de-DE"/>
              </w:rPr>
            </w:pPr>
            <w:r w:rsidRPr="00581605">
              <w:rPr>
                <w:rFonts w:ascii="Calibri" w:hAnsi="Calibri" w:cs="Calibri"/>
                <w:lang w:eastAsia="de-DE"/>
              </w:rPr>
              <w:t xml:space="preserve">Inhaltsstoffe </w:t>
            </w:r>
          </w:p>
          <w:p w:rsidR="00130297" w:rsidRPr="00581605" w:rsidRDefault="00130297" w:rsidP="00CD4514">
            <w:pPr>
              <w:suppressAutoHyphens w:val="0"/>
              <w:spacing w:before="100" w:beforeAutospacing="1"/>
              <w:jc w:val="left"/>
              <w:rPr>
                <w:rFonts w:ascii="Calibri" w:hAnsi="Calibri" w:cs="Calibri"/>
                <w:b/>
              </w:rPr>
            </w:pPr>
          </w:p>
        </w:tc>
        <w:tc>
          <w:tcPr>
            <w:tcW w:w="5699" w:type="dxa"/>
            <w:shd w:val="clear" w:color="auto" w:fill="FFFFFF"/>
          </w:tcPr>
          <w:p w:rsidR="00D57024" w:rsidRPr="00104EDD" w:rsidRDefault="00130297" w:rsidP="00CD4514">
            <w:pPr>
              <w:pStyle w:val="Default"/>
              <w:numPr>
                <w:ilvl w:val="0"/>
                <w:numId w:val="6"/>
              </w:numPr>
              <w:rPr>
                <w:sz w:val="22"/>
                <w:szCs w:val="22"/>
              </w:rPr>
            </w:pPr>
            <w:r>
              <w:rPr>
                <w:sz w:val="22"/>
                <w:szCs w:val="22"/>
              </w:rPr>
              <w:t xml:space="preserve">Ausschließlich </w:t>
            </w:r>
            <w:r w:rsidR="00760CC1">
              <w:rPr>
                <w:sz w:val="22"/>
                <w:szCs w:val="22"/>
              </w:rPr>
              <w:t>m</w:t>
            </w:r>
            <w:r>
              <w:rPr>
                <w:sz w:val="22"/>
                <w:szCs w:val="22"/>
              </w:rPr>
              <w:t>ikroplastik</w:t>
            </w:r>
            <w:r w:rsidR="00760CC1">
              <w:rPr>
                <w:sz w:val="22"/>
                <w:szCs w:val="22"/>
              </w:rPr>
              <w:t>- und schadstoff</w:t>
            </w:r>
            <w:r w:rsidR="00DE2DE6">
              <w:rPr>
                <w:sz w:val="22"/>
                <w:szCs w:val="22"/>
              </w:rPr>
              <w:t xml:space="preserve">freie </w:t>
            </w:r>
            <w:proofErr w:type="spellStart"/>
            <w:r w:rsidR="00DE2DE6">
              <w:rPr>
                <w:sz w:val="22"/>
                <w:szCs w:val="22"/>
              </w:rPr>
              <w:t>Cosme</w:t>
            </w:r>
            <w:r>
              <w:rPr>
                <w:sz w:val="22"/>
                <w:szCs w:val="22"/>
              </w:rPr>
              <w:t>ceutical</w:t>
            </w:r>
            <w:proofErr w:type="spellEnd"/>
            <w:r>
              <w:rPr>
                <w:sz w:val="22"/>
                <w:szCs w:val="22"/>
              </w:rPr>
              <w:t>-Pflegeprodukte empfehlen</w:t>
            </w:r>
          </w:p>
        </w:tc>
        <w:tc>
          <w:tcPr>
            <w:tcW w:w="6634" w:type="dxa"/>
            <w:shd w:val="clear" w:color="auto" w:fill="FFFFFF"/>
          </w:tcPr>
          <w:p w:rsidR="00D57024" w:rsidRPr="00104EDD" w:rsidRDefault="00130297" w:rsidP="00CD4514">
            <w:pPr>
              <w:numPr>
                <w:ilvl w:val="0"/>
                <w:numId w:val="6"/>
              </w:numPr>
              <w:jc w:val="left"/>
              <w:rPr>
                <w:rFonts w:ascii="Calibri" w:hAnsi="Calibri" w:cs="Calibri"/>
                <w:sz w:val="22"/>
                <w:szCs w:val="22"/>
              </w:rPr>
            </w:pPr>
            <w:r>
              <w:rPr>
                <w:rFonts w:ascii="Calibri" w:hAnsi="Calibri" w:cs="Calibri"/>
                <w:sz w:val="22"/>
                <w:szCs w:val="22"/>
              </w:rPr>
              <w:t xml:space="preserve">Mikroplastik </w:t>
            </w:r>
            <w:r w:rsidR="0069326E">
              <w:rPr>
                <w:rFonts w:ascii="Calibri" w:hAnsi="Calibri" w:cs="Calibri"/>
                <w:sz w:val="22"/>
                <w:szCs w:val="22"/>
              </w:rPr>
              <w:t>gilt als</w:t>
            </w:r>
            <w:r>
              <w:rPr>
                <w:rFonts w:ascii="Calibri" w:hAnsi="Calibri" w:cs="Calibri"/>
                <w:sz w:val="22"/>
                <w:szCs w:val="22"/>
              </w:rPr>
              <w:t xml:space="preserve"> gesundheitsschädlich und trägt in erheblichem Umfang zum Klimawandel bei </w:t>
            </w:r>
            <w:r w:rsidR="00D87317" w:rsidRPr="00D87317">
              <w:rPr>
                <w:rFonts w:ascii="Calibri" w:hAnsi="Calibri" w:cs="Calibri"/>
                <w:sz w:val="22"/>
                <w:szCs w:val="22"/>
              </w:rPr>
              <w:t>(18)</w:t>
            </w:r>
          </w:p>
        </w:tc>
      </w:tr>
      <w:tr w:rsidR="00D57024" w:rsidRPr="00852AC4" w:rsidTr="00CD4514">
        <w:tc>
          <w:tcPr>
            <w:tcW w:w="2376" w:type="dxa"/>
            <w:shd w:val="clear" w:color="auto" w:fill="FFFFFF" w:themeFill="background1"/>
          </w:tcPr>
          <w:p w:rsidR="00D57024" w:rsidRPr="00581605" w:rsidRDefault="004102E6" w:rsidP="00CD4514">
            <w:pPr>
              <w:suppressAutoHyphens w:val="0"/>
              <w:spacing w:before="100" w:beforeAutospacing="1"/>
              <w:jc w:val="left"/>
              <w:rPr>
                <w:rFonts w:ascii="Calibri" w:hAnsi="Calibri" w:cs="Calibri"/>
              </w:rPr>
            </w:pPr>
            <w:r w:rsidRPr="00581605">
              <w:rPr>
                <w:rFonts w:ascii="Calibri" w:hAnsi="Calibri" w:cs="Calibri"/>
              </w:rPr>
              <w:t>Verordnungen</w:t>
            </w:r>
            <w:r w:rsidR="002319C5">
              <w:rPr>
                <w:rFonts w:ascii="Calibri" w:hAnsi="Calibri" w:cs="Calibri"/>
              </w:rPr>
              <w:t xml:space="preserve"> unter dem Aspekt Zusatzstoffe</w:t>
            </w:r>
            <w:r w:rsidR="00DE2DE6">
              <w:rPr>
                <w:rFonts w:ascii="Calibri" w:hAnsi="Calibri" w:cs="Calibri"/>
              </w:rPr>
              <w:t xml:space="preserve"> und Umwelttoxi</w:t>
            </w:r>
            <w:r w:rsidR="007F472C">
              <w:rPr>
                <w:rFonts w:ascii="Calibri" w:hAnsi="Calibri" w:cs="Calibri"/>
              </w:rPr>
              <w:t>zität</w:t>
            </w:r>
          </w:p>
        </w:tc>
        <w:tc>
          <w:tcPr>
            <w:tcW w:w="5699" w:type="dxa"/>
            <w:shd w:val="clear" w:color="auto" w:fill="FFFFFF"/>
          </w:tcPr>
          <w:p w:rsidR="004102E6" w:rsidRPr="00104EDD" w:rsidRDefault="008A1C8F" w:rsidP="00CD4514">
            <w:pPr>
              <w:numPr>
                <w:ilvl w:val="0"/>
                <w:numId w:val="6"/>
              </w:numPr>
              <w:suppressAutoHyphens w:val="0"/>
              <w:spacing w:before="100" w:beforeAutospacing="1"/>
              <w:jc w:val="left"/>
              <w:rPr>
                <w:rFonts w:ascii="Times New Roman" w:hAnsi="Times New Roman" w:cs="Times New Roman"/>
                <w:sz w:val="22"/>
                <w:szCs w:val="22"/>
                <w:lang w:eastAsia="de-DE"/>
              </w:rPr>
            </w:pPr>
            <w:r w:rsidRPr="00104EDD">
              <w:rPr>
                <w:rFonts w:ascii="Calibri" w:hAnsi="Calibri" w:cs="Calibri"/>
                <w:sz w:val="22"/>
                <w:szCs w:val="22"/>
                <w:lang w:eastAsia="de-DE"/>
              </w:rPr>
              <w:t xml:space="preserve">Verordnung von </w:t>
            </w:r>
            <w:proofErr w:type="spellStart"/>
            <w:r w:rsidR="004102E6" w:rsidRPr="00104EDD">
              <w:rPr>
                <w:rFonts w:ascii="Calibri" w:hAnsi="Calibri" w:cs="Calibri"/>
                <w:sz w:val="22"/>
                <w:szCs w:val="22"/>
                <w:lang w:eastAsia="de-DE"/>
              </w:rPr>
              <w:t>Pulverinhalatoren</w:t>
            </w:r>
            <w:proofErr w:type="spellEnd"/>
            <w:r w:rsidR="004102E6" w:rsidRPr="00104EDD">
              <w:rPr>
                <w:rFonts w:ascii="Calibri" w:hAnsi="Calibri" w:cs="Calibri"/>
                <w:sz w:val="22"/>
                <w:szCs w:val="22"/>
                <w:lang w:eastAsia="de-DE"/>
              </w:rPr>
              <w:t xml:space="preserve"> </w:t>
            </w:r>
            <w:r w:rsidRPr="00104EDD">
              <w:rPr>
                <w:rFonts w:ascii="Calibri" w:hAnsi="Calibri" w:cs="Calibri"/>
                <w:sz w:val="22"/>
                <w:szCs w:val="22"/>
                <w:lang w:eastAsia="de-DE"/>
              </w:rPr>
              <w:t xml:space="preserve">anstatt Dosieraerosolen </w:t>
            </w:r>
            <w:r w:rsidR="004102E6" w:rsidRPr="00104EDD">
              <w:rPr>
                <w:rFonts w:ascii="Calibri" w:hAnsi="Calibri" w:cs="Calibri"/>
                <w:sz w:val="22"/>
                <w:szCs w:val="22"/>
                <w:lang w:eastAsia="de-DE"/>
              </w:rPr>
              <w:t>bei Asthma</w:t>
            </w:r>
          </w:p>
          <w:p w:rsidR="00DB4C48" w:rsidRPr="00104EDD" w:rsidRDefault="00130297" w:rsidP="00CD4514">
            <w:pPr>
              <w:numPr>
                <w:ilvl w:val="0"/>
                <w:numId w:val="7"/>
              </w:numPr>
              <w:jc w:val="left"/>
              <w:rPr>
                <w:rFonts w:ascii="Calibri" w:hAnsi="Calibri" w:cs="Calibri"/>
                <w:sz w:val="22"/>
                <w:szCs w:val="22"/>
              </w:rPr>
            </w:pPr>
            <w:proofErr w:type="spellStart"/>
            <w:r>
              <w:rPr>
                <w:rFonts w:ascii="Calibri" w:hAnsi="Calibri" w:cs="Calibri"/>
                <w:sz w:val="22"/>
                <w:szCs w:val="22"/>
              </w:rPr>
              <w:t>Diclofenac</w:t>
            </w:r>
            <w:proofErr w:type="spellEnd"/>
            <w:r>
              <w:rPr>
                <w:rFonts w:ascii="Calibri" w:hAnsi="Calibri" w:cs="Calibri"/>
                <w:sz w:val="22"/>
                <w:szCs w:val="22"/>
              </w:rPr>
              <w:t xml:space="preserve"> wenn möglich durch Alternativen ersetzen</w:t>
            </w:r>
          </w:p>
        </w:tc>
        <w:tc>
          <w:tcPr>
            <w:tcW w:w="6634" w:type="dxa"/>
            <w:shd w:val="clear" w:color="auto" w:fill="FFFFFF"/>
          </w:tcPr>
          <w:p w:rsidR="00200E6B" w:rsidRPr="0094173C" w:rsidRDefault="00130297" w:rsidP="00CD4514">
            <w:pPr>
              <w:numPr>
                <w:ilvl w:val="0"/>
                <w:numId w:val="7"/>
              </w:numPr>
              <w:jc w:val="left"/>
              <w:rPr>
                <w:rFonts w:ascii="Calibri" w:hAnsi="Calibri" w:cs="Calibri"/>
                <w:sz w:val="22"/>
                <w:szCs w:val="22"/>
              </w:rPr>
            </w:pPr>
            <w:r w:rsidRPr="0094173C">
              <w:rPr>
                <w:rFonts w:ascii="Calibri" w:hAnsi="Calibri" w:cs="Calibri"/>
                <w:sz w:val="22"/>
                <w:szCs w:val="22"/>
              </w:rPr>
              <w:t>F-Gase in Dosieraerosolen sind um ein Vielfaches klimaschädlicher als CO2</w:t>
            </w:r>
            <w:r w:rsidR="007C271D" w:rsidRPr="0094173C">
              <w:rPr>
                <w:rFonts w:ascii="Calibri" w:hAnsi="Calibri" w:cs="Calibri"/>
                <w:sz w:val="22"/>
                <w:szCs w:val="22"/>
              </w:rPr>
              <w:t xml:space="preserve"> </w:t>
            </w:r>
            <w:r w:rsidR="0094173C" w:rsidRPr="0094173C">
              <w:rPr>
                <w:rFonts w:ascii="Calibri" w:hAnsi="Calibri" w:cs="Calibri"/>
                <w:sz w:val="22"/>
                <w:szCs w:val="22"/>
              </w:rPr>
              <w:t>(19)</w:t>
            </w:r>
          </w:p>
          <w:p w:rsidR="00130297" w:rsidRPr="00104EDD" w:rsidRDefault="00130297" w:rsidP="00CD4514">
            <w:pPr>
              <w:numPr>
                <w:ilvl w:val="0"/>
                <w:numId w:val="7"/>
              </w:numPr>
              <w:jc w:val="left"/>
              <w:rPr>
                <w:rFonts w:ascii="Calibri" w:hAnsi="Calibri" w:cs="Calibri"/>
                <w:sz w:val="22"/>
                <w:szCs w:val="22"/>
              </w:rPr>
            </w:pPr>
            <w:proofErr w:type="spellStart"/>
            <w:r w:rsidRPr="0094173C">
              <w:rPr>
                <w:rFonts w:ascii="Calibri" w:hAnsi="Calibri" w:cs="Calibri"/>
                <w:sz w:val="22"/>
                <w:szCs w:val="22"/>
              </w:rPr>
              <w:t>Diclofenac</w:t>
            </w:r>
            <w:proofErr w:type="spellEnd"/>
            <w:r w:rsidRPr="0094173C">
              <w:rPr>
                <w:rFonts w:ascii="Calibri" w:hAnsi="Calibri" w:cs="Calibri"/>
                <w:sz w:val="22"/>
                <w:szCs w:val="22"/>
              </w:rPr>
              <w:t xml:space="preserve"> kann nicht aus dem Abwasser ge</w:t>
            </w:r>
            <w:r w:rsidR="00DE2DE6" w:rsidRPr="0094173C">
              <w:rPr>
                <w:rFonts w:ascii="Calibri" w:hAnsi="Calibri" w:cs="Calibri"/>
                <w:sz w:val="22"/>
                <w:szCs w:val="22"/>
              </w:rPr>
              <w:t xml:space="preserve">klärt werden. Es </w:t>
            </w:r>
            <w:r w:rsidRPr="0094173C">
              <w:rPr>
                <w:rFonts w:ascii="Calibri" w:hAnsi="Calibri" w:cs="Calibri"/>
                <w:sz w:val="22"/>
                <w:szCs w:val="22"/>
              </w:rPr>
              <w:t>ist toxisch für Fische und Vögel</w:t>
            </w:r>
            <w:r w:rsidR="007C271D" w:rsidRPr="0094173C">
              <w:rPr>
                <w:rFonts w:ascii="Calibri" w:hAnsi="Calibri" w:cs="Calibri"/>
                <w:sz w:val="22"/>
                <w:szCs w:val="22"/>
              </w:rPr>
              <w:t xml:space="preserve"> </w:t>
            </w:r>
            <w:r w:rsidR="002741EF">
              <w:rPr>
                <w:rFonts w:ascii="Calibri" w:hAnsi="Calibri" w:cs="Calibri"/>
                <w:sz w:val="22"/>
                <w:szCs w:val="22"/>
              </w:rPr>
              <w:t>(20)</w:t>
            </w:r>
          </w:p>
        </w:tc>
      </w:tr>
      <w:tr w:rsidR="00D57024" w:rsidRPr="00852AC4" w:rsidTr="00CD4514">
        <w:tc>
          <w:tcPr>
            <w:tcW w:w="2376" w:type="dxa"/>
            <w:shd w:val="clear" w:color="auto" w:fill="FFFFFF" w:themeFill="background1"/>
          </w:tcPr>
          <w:p w:rsidR="00D57024" w:rsidRPr="00581605" w:rsidRDefault="00D56AF0" w:rsidP="00CD4514">
            <w:pPr>
              <w:jc w:val="left"/>
              <w:rPr>
                <w:rFonts w:ascii="Calibri" w:hAnsi="Calibri" w:cs="Calibri"/>
                <w:b/>
              </w:rPr>
            </w:pPr>
            <w:r w:rsidRPr="00581605">
              <w:rPr>
                <w:rFonts w:ascii="Calibri" w:hAnsi="Calibri" w:cs="Calibri"/>
                <w:lang w:eastAsia="de-DE"/>
              </w:rPr>
              <w:t>Leitlinien beachten</w:t>
            </w:r>
          </w:p>
        </w:tc>
        <w:tc>
          <w:tcPr>
            <w:tcW w:w="5699" w:type="dxa"/>
            <w:shd w:val="clear" w:color="auto" w:fill="FFFFFF"/>
          </w:tcPr>
          <w:p w:rsidR="00A17C2C" w:rsidRPr="00104EDD" w:rsidRDefault="007F472C" w:rsidP="00CD4514">
            <w:pPr>
              <w:numPr>
                <w:ilvl w:val="0"/>
                <w:numId w:val="8"/>
              </w:numPr>
              <w:jc w:val="left"/>
              <w:rPr>
                <w:rFonts w:ascii="Calibri" w:hAnsi="Calibri" w:cs="Calibri"/>
                <w:sz w:val="22"/>
                <w:szCs w:val="22"/>
              </w:rPr>
            </w:pPr>
            <w:r>
              <w:rPr>
                <w:rFonts w:ascii="Calibri" w:hAnsi="Calibri" w:cs="Calibri"/>
                <w:sz w:val="22"/>
                <w:szCs w:val="22"/>
                <w:lang w:eastAsia="de-DE"/>
              </w:rPr>
              <w:t>b</w:t>
            </w:r>
            <w:r w:rsidR="00581605" w:rsidRPr="00104EDD">
              <w:rPr>
                <w:rFonts w:ascii="Calibri" w:hAnsi="Calibri" w:cs="Calibri"/>
                <w:sz w:val="22"/>
                <w:szCs w:val="22"/>
                <w:lang w:eastAsia="de-DE"/>
              </w:rPr>
              <w:t>ildgebende Diagnostik (</w:t>
            </w:r>
            <w:proofErr w:type="spellStart"/>
            <w:r w:rsidR="00D56AF0" w:rsidRPr="00104EDD">
              <w:rPr>
                <w:rFonts w:ascii="Calibri" w:hAnsi="Calibri" w:cs="Calibri"/>
                <w:sz w:val="22"/>
                <w:szCs w:val="22"/>
                <w:lang w:eastAsia="de-DE"/>
              </w:rPr>
              <w:t>Sono</w:t>
            </w:r>
            <w:proofErr w:type="spellEnd"/>
            <w:r w:rsidR="00D56AF0" w:rsidRPr="00104EDD">
              <w:rPr>
                <w:rFonts w:ascii="Calibri" w:hAnsi="Calibri" w:cs="Calibri"/>
                <w:sz w:val="22"/>
                <w:szCs w:val="22"/>
                <w:lang w:eastAsia="de-DE"/>
              </w:rPr>
              <w:t>, CT</w:t>
            </w:r>
            <w:r w:rsidR="00581605" w:rsidRPr="00104EDD">
              <w:rPr>
                <w:rFonts w:ascii="Calibri" w:hAnsi="Calibri" w:cs="Calibri"/>
                <w:sz w:val="22"/>
                <w:szCs w:val="22"/>
                <w:lang w:eastAsia="de-DE"/>
              </w:rPr>
              <w:t xml:space="preserve">, MRT etc.) </w:t>
            </w:r>
            <w:r>
              <w:rPr>
                <w:rFonts w:ascii="Calibri" w:hAnsi="Calibri" w:cs="Calibri"/>
                <w:sz w:val="22"/>
                <w:szCs w:val="22"/>
                <w:lang w:eastAsia="de-DE"/>
              </w:rPr>
              <w:t xml:space="preserve">z.B. bei malignem Melanom </w:t>
            </w:r>
            <w:r w:rsidR="00D56AF0" w:rsidRPr="00104EDD">
              <w:rPr>
                <w:rFonts w:ascii="Calibri" w:hAnsi="Calibri" w:cs="Calibri"/>
                <w:sz w:val="22"/>
                <w:szCs w:val="22"/>
                <w:lang w:eastAsia="de-DE"/>
              </w:rPr>
              <w:t>nur im angebrachten Fall bei nachgewiesenermaßen evidenzbasiertem Nutzen</w:t>
            </w:r>
          </w:p>
        </w:tc>
        <w:tc>
          <w:tcPr>
            <w:tcW w:w="6634" w:type="dxa"/>
            <w:shd w:val="clear" w:color="auto" w:fill="FFFFFF"/>
          </w:tcPr>
          <w:p w:rsidR="00A17C2C" w:rsidRPr="00104EDD" w:rsidRDefault="007F472C" w:rsidP="00CD4514">
            <w:pPr>
              <w:numPr>
                <w:ilvl w:val="0"/>
                <w:numId w:val="8"/>
              </w:numPr>
              <w:jc w:val="left"/>
              <w:rPr>
                <w:rFonts w:ascii="Calibri" w:hAnsi="Calibri" w:cs="Calibri"/>
                <w:sz w:val="22"/>
                <w:szCs w:val="22"/>
              </w:rPr>
            </w:pPr>
            <w:r>
              <w:rPr>
                <w:rFonts w:ascii="Calibri" w:hAnsi="Calibri" w:cs="Calibri"/>
                <w:sz w:val="22"/>
                <w:szCs w:val="22"/>
              </w:rPr>
              <w:t xml:space="preserve">Jede bildgebende Diagnostik erzeugt C02-Emissionen und Kosten </w:t>
            </w:r>
            <w:r w:rsidR="005055E6">
              <w:rPr>
                <w:rFonts w:ascii="Calibri" w:hAnsi="Calibri" w:cs="Calibri"/>
                <w:sz w:val="22"/>
                <w:szCs w:val="22"/>
              </w:rPr>
              <w:t>(s. Anhang 2</w:t>
            </w:r>
            <w:r w:rsidR="00A42FE1">
              <w:rPr>
                <w:rFonts w:ascii="Calibri" w:hAnsi="Calibri" w:cs="Calibri"/>
                <w:sz w:val="22"/>
                <w:szCs w:val="22"/>
              </w:rPr>
              <w:t>)</w:t>
            </w:r>
          </w:p>
        </w:tc>
      </w:tr>
      <w:tr w:rsidR="00D57024" w:rsidRPr="00852AC4" w:rsidTr="00CD4514">
        <w:tc>
          <w:tcPr>
            <w:tcW w:w="2376" w:type="dxa"/>
            <w:shd w:val="clear" w:color="auto" w:fill="FFFFFF" w:themeFill="background1"/>
          </w:tcPr>
          <w:p w:rsidR="00D57024" w:rsidRPr="00581605" w:rsidRDefault="009A5E58" w:rsidP="00CD4514">
            <w:pPr>
              <w:jc w:val="left"/>
              <w:rPr>
                <w:rFonts w:ascii="Calibri" w:hAnsi="Calibri" w:cs="Calibri"/>
              </w:rPr>
            </w:pPr>
            <w:r>
              <w:rPr>
                <w:rFonts w:ascii="Calibri" w:hAnsi="Calibri" w:cs="Calibri"/>
              </w:rPr>
              <w:t xml:space="preserve">Operationen </w:t>
            </w:r>
          </w:p>
        </w:tc>
        <w:tc>
          <w:tcPr>
            <w:tcW w:w="5699" w:type="dxa"/>
            <w:shd w:val="clear" w:color="auto" w:fill="FFFFFF"/>
          </w:tcPr>
          <w:p w:rsidR="00E66386" w:rsidRPr="00104EDD" w:rsidRDefault="00E66386" w:rsidP="00CD4514">
            <w:pPr>
              <w:numPr>
                <w:ilvl w:val="0"/>
                <w:numId w:val="9"/>
              </w:numPr>
              <w:suppressAutoHyphens w:val="0"/>
              <w:jc w:val="left"/>
              <w:rPr>
                <w:rFonts w:ascii="Calibri" w:hAnsi="Calibri" w:cs="Calibri"/>
                <w:sz w:val="22"/>
                <w:szCs w:val="22"/>
                <w:lang w:eastAsia="de-DE"/>
              </w:rPr>
            </w:pPr>
            <w:r w:rsidRPr="00104EDD">
              <w:rPr>
                <w:rFonts w:ascii="Calibri" w:hAnsi="Calibri" w:cs="Calibri"/>
                <w:sz w:val="22"/>
                <w:szCs w:val="22"/>
                <w:lang w:eastAsia="de-DE"/>
              </w:rPr>
              <w:t>Vermeidung unnötiger Exzisionen von Nävi</w:t>
            </w:r>
          </w:p>
          <w:p w:rsidR="00CD0CDE" w:rsidRPr="00104EDD" w:rsidRDefault="00CD0CDE" w:rsidP="00CD4514">
            <w:pPr>
              <w:suppressAutoHyphens w:val="0"/>
              <w:ind w:left="720"/>
              <w:jc w:val="left"/>
              <w:rPr>
                <w:rFonts w:ascii="Calibri" w:hAnsi="Calibri" w:cs="Calibri"/>
                <w:sz w:val="22"/>
                <w:szCs w:val="22"/>
                <w:lang w:eastAsia="de-DE"/>
              </w:rPr>
            </w:pPr>
          </w:p>
          <w:p w:rsidR="00670534" w:rsidRPr="00104EDD" w:rsidRDefault="00670534" w:rsidP="00CD4514">
            <w:pPr>
              <w:suppressAutoHyphens w:val="0"/>
              <w:ind w:left="720"/>
              <w:jc w:val="left"/>
              <w:rPr>
                <w:rFonts w:ascii="Calibri" w:hAnsi="Calibri" w:cs="Calibri"/>
                <w:sz w:val="22"/>
                <w:szCs w:val="22"/>
                <w:lang w:eastAsia="de-DE"/>
              </w:rPr>
            </w:pPr>
          </w:p>
          <w:p w:rsidR="00D46D50" w:rsidRPr="00104EDD" w:rsidRDefault="009A5E58" w:rsidP="00CD4514">
            <w:pPr>
              <w:numPr>
                <w:ilvl w:val="0"/>
                <w:numId w:val="9"/>
              </w:numPr>
              <w:jc w:val="left"/>
              <w:rPr>
                <w:rFonts w:ascii="Calibri" w:hAnsi="Calibri" w:cs="Calibri"/>
                <w:sz w:val="22"/>
                <w:szCs w:val="22"/>
              </w:rPr>
            </w:pPr>
            <w:r w:rsidRPr="00104EDD">
              <w:rPr>
                <w:rFonts w:ascii="Calibri" w:hAnsi="Calibri" w:cs="Calibri"/>
                <w:sz w:val="22"/>
                <w:szCs w:val="22"/>
              </w:rPr>
              <w:t xml:space="preserve">keine operative Sanierung </w:t>
            </w:r>
            <w:r w:rsidR="00344CBC" w:rsidRPr="00104EDD">
              <w:rPr>
                <w:rFonts w:ascii="Calibri" w:hAnsi="Calibri" w:cs="Calibri"/>
                <w:sz w:val="22"/>
                <w:szCs w:val="22"/>
              </w:rPr>
              <w:t xml:space="preserve">bei </w:t>
            </w:r>
            <w:r w:rsidRPr="00104EDD">
              <w:rPr>
                <w:rFonts w:ascii="Calibri" w:hAnsi="Calibri" w:cs="Calibri"/>
                <w:sz w:val="22"/>
                <w:szCs w:val="22"/>
              </w:rPr>
              <w:t xml:space="preserve">symptomloser </w:t>
            </w:r>
            <w:proofErr w:type="spellStart"/>
            <w:r w:rsidRPr="00104EDD">
              <w:rPr>
                <w:rFonts w:ascii="Calibri" w:hAnsi="Calibri" w:cs="Calibri"/>
                <w:sz w:val="22"/>
                <w:szCs w:val="22"/>
              </w:rPr>
              <w:t>Vari</w:t>
            </w:r>
            <w:r w:rsidR="0069326E">
              <w:rPr>
                <w:rFonts w:ascii="Calibri" w:hAnsi="Calibri" w:cs="Calibri"/>
                <w:sz w:val="22"/>
                <w:szCs w:val="22"/>
              </w:rPr>
              <w:t>k</w:t>
            </w:r>
            <w:r w:rsidRPr="00104EDD">
              <w:rPr>
                <w:rFonts w:ascii="Calibri" w:hAnsi="Calibri" w:cs="Calibri"/>
                <w:sz w:val="22"/>
                <w:szCs w:val="22"/>
              </w:rPr>
              <w:t>osis</w:t>
            </w:r>
            <w:proofErr w:type="spellEnd"/>
          </w:p>
        </w:tc>
        <w:tc>
          <w:tcPr>
            <w:tcW w:w="6634" w:type="dxa"/>
            <w:shd w:val="clear" w:color="auto" w:fill="FFFFFF"/>
          </w:tcPr>
          <w:p w:rsidR="00D46D50" w:rsidRPr="00104EDD" w:rsidRDefault="00632610" w:rsidP="00CD4514">
            <w:pPr>
              <w:numPr>
                <w:ilvl w:val="0"/>
                <w:numId w:val="9"/>
              </w:numPr>
              <w:jc w:val="left"/>
              <w:rPr>
                <w:rFonts w:ascii="Calibri" w:hAnsi="Calibri" w:cs="Calibri"/>
                <w:sz w:val="22"/>
                <w:szCs w:val="22"/>
              </w:rPr>
            </w:pPr>
            <w:r w:rsidRPr="00104EDD">
              <w:rPr>
                <w:rFonts w:ascii="Calibri" w:hAnsi="Calibri" w:cs="Calibri"/>
                <w:sz w:val="22"/>
                <w:szCs w:val="22"/>
                <w:lang w:eastAsia="de-DE"/>
              </w:rPr>
              <w:t xml:space="preserve">Einsatz von </w:t>
            </w:r>
            <w:r w:rsidR="00670534" w:rsidRPr="00104EDD">
              <w:rPr>
                <w:rFonts w:ascii="Calibri" w:hAnsi="Calibri" w:cs="Calibri"/>
                <w:sz w:val="22"/>
                <w:szCs w:val="22"/>
                <w:lang w:eastAsia="de-DE"/>
              </w:rPr>
              <w:t>Fotodokumentations-Sy</w:t>
            </w:r>
            <w:r w:rsidR="007B27E5">
              <w:rPr>
                <w:rFonts w:ascii="Calibri" w:hAnsi="Calibri" w:cs="Calibri"/>
                <w:sz w:val="22"/>
                <w:szCs w:val="22"/>
                <w:lang w:eastAsia="de-DE"/>
              </w:rPr>
              <w:t>s</w:t>
            </w:r>
            <w:r w:rsidR="00670534" w:rsidRPr="00104EDD">
              <w:rPr>
                <w:rFonts w:ascii="Calibri" w:hAnsi="Calibri" w:cs="Calibri"/>
                <w:sz w:val="22"/>
                <w:szCs w:val="22"/>
                <w:lang w:eastAsia="de-DE"/>
              </w:rPr>
              <w:t>temen</w:t>
            </w:r>
            <w:r w:rsidR="00CD0CDE" w:rsidRPr="00104EDD">
              <w:rPr>
                <w:rFonts w:ascii="Calibri" w:hAnsi="Calibri" w:cs="Calibri"/>
                <w:sz w:val="22"/>
                <w:szCs w:val="22"/>
                <w:lang w:eastAsia="de-DE"/>
              </w:rPr>
              <w:t xml:space="preserve"> </w:t>
            </w:r>
            <w:r w:rsidRPr="00104EDD">
              <w:rPr>
                <w:rFonts w:ascii="Calibri" w:hAnsi="Calibri" w:cs="Calibri"/>
                <w:sz w:val="22"/>
                <w:szCs w:val="22"/>
                <w:lang w:eastAsia="de-DE"/>
              </w:rPr>
              <w:t>zur Verlaufskontrolle</w:t>
            </w:r>
            <w:r w:rsidR="00CD0CDE" w:rsidRPr="00104EDD">
              <w:rPr>
                <w:rFonts w:ascii="Calibri" w:hAnsi="Calibri" w:cs="Calibri"/>
                <w:sz w:val="22"/>
                <w:szCs w:val="22"/>
                <w:lang w:eastAsia="de-DE"/>
              </w:rPr>
              <w:t xml:space="preserve"> ermöglicht </w:t>
            </w:r>
            <w:r w:rsidR="00670534" w:rsidRPr="00104EDD">
              <w:rPr>
                <w:rFonts w:ascii="Calibri" w:hAnsi="Calibri" w:cs="Calibri"/>
                <w:sz w:val="22"/>
                <w:szCs w:val="22"/>
                <w:lang w:eastAsia="de-DE"/>
              </w:rPr>
              <w:t xml:space="preserve">konservative </w:t>
            </w:r>
            <w:r w:rsidR="00CD0CDE" w:rsidRPr="00104EDD">
              <w:rPr>
                <w:rFonts w:ascii="Calibri" w:hAnsi="Calibri" w:cs="Calibri"/>
                <w:sz w:val="22"/>
                <w:szCs w:val="22"/>
                <w:lang w:eastAsia="de-DE"/>
              </w:rPr>
              <w:t>Diagnostik suspekter Nävi</w:t>
            </w:r>
          </w:p>
          <w:p w:rsidR="00CD0CDE" w:rsidRPr="00614419" w:rsidRDefault="00344CBC" w:rsidP="00CD4514">
            <w:pPr>
              <w:numPr>
                <w:ilvl w:val="0"/>
                <w:numId w:val="9"/>
              </w:numPr>
              <w:jc w:val="left"/>
              <w:rPr>
                <w:rFonts w:ascii="Calibri" w:hAnsi="Calibri" w:cs="Calibri"/>
                <w:sz w:val="22"/>
                <w:szCs w:val="22"/>
              </w:rPr>
            </w:pPr>
            <w:r w:rsidRPr="00614419">
              <w:rPr>
                <w:rFonts w:ascii="Calibri" w:hAnsi="Calibri" w:cs="Calibri"/>
                <w:sz w:val="22"/>
                <w:szCs w:val="22"/>
              </w:rPr>
              <w:t xml:space="preserve">Grundsätzlich ist in jedem Stadium der Erkrankung eine konservative Therapie möglich. Diese umfasst je nach Befund </w:t>
            </w:r>
            <w:r w:rsidRPr="00614419">
              <w:rPr>
                <w:rFonts w:ascii="Calibri" w:hAnsi="Calibri" w:cs="Calibri"/>
                <w:sz w:val="22"/>
                <w:szCs w:val="22"/>
              </w:rPr>
              <w:lastRenderedPageBreak/>
              <w:t xml:space="preserve">eine Kompressionstherapie und physikalische </w:t>
            </w:r>
            <w:r w:rsidR="006F061D" w:rsidRPr="00614419">
              <w:rPr>
                <w:rFonts w:ascii="Calibri" w:hAnsi="Calibri" w:cs="Calibri"/>
                <w:sz w:val="22"/>
                <w:szCs w:val="22"/>
              </w:rPr>
              <w:t>M</w:t>
            </w:r>
            <w:r w:rsidRPr="00614419">
              <w:rPr>
                <w:rFonts w:ascii="Calibri" w:hAnsi="Calibri" w:cs="Calibri"/>
                <w:sz w:val="22"/>
                <w:szCs w:val="22"/>
              </w:rPr>
              <w:t>a</w:t>
            </w:r>
            <w:r w:rsidR="00C000E5" w:rsidRPr="00614419">
              <w:rPr>
                <w:rFonts w:ascii="Calibri" w:hAnsi="Calibri" w:cs="Calibri"/>
                <w:sz w:val="22"/>
                <w:szCs w:val="22"/>
              </w:rPr>
              <w:t>ß</w:t>
            </w:r>
            <w:r w:rsidRPr="00614419">
              <w:rPr>
                <w:rFonts w:ascii="Calibri" w:hAnsi="Calibri" w:cs="Calibri"/>
                <w:sz w:val="22"/>
                <w:szCs w:val="22"/>
              </w:rPr>
              <w:t>nahmen</w:t>
            </w:r>
            <w:r w:rsidR="00F835FF" w:rsidRPr="00614419">
              <w:rPr>
                <w:rFonts w:ascii="Calibri" w:hAnsi="Calibri" w:cs="Calibri"/>
                <w:sz w:val="22"/>
                <w:szCs w:val="22"/>
              </w:rPr>
              <w:t xml:space="preserve"> wie </w:t>
            </w:r>
            <w:proofErr w:type="spellStart"/>
            <w:r w:rsidR="00F835FF" w:rsidRPr="00614419">
              <w:rPr>
                <w:rFonts w:ascii="Calibri" w:hAnsi="Calibri" w:cs="Calibri"/>
                <w:sz w:val="22"/>
                <w:szCs w:val="22"/>
              </w:rPr>
              <w:t>Entstauung</w:t>
            </w:r>
            <w:proofErr w:type="spellEnd"/>
            <w:r w:rsidRPr="00614419">
              <w:rPr>
                <w:rFonts w:ascii="Calibri" w:hAnsi="Calibri" w:cs="Calibri"/>
                <w:sz w:val="22"/>
                <w:szCs w:val="22"/>
              </w:rPr>
              <w:t xml:space="preserve"> und Gefäßsport</w:t>
            </w:r>
          </w:p>
        </w:tc>
      </w:tr>
      <w:tr w:rsidR="00D57024" w:rsidRPr="00852AC4" w:rsidTr="00CD4514">
        <w:tc>
          <w:tcPr>
            <w:tcW w:w="2376" w:type="dxa"/>
            <w:shd w:val="clear" w:color="auto" w:fill="FFFFFF" w:themeFill="background1"/>
          </w:tcPr>
          <w:p w:rsidR="00D57024" w:rsidRPr="00F74FC2" w:rsidRDefault="00F74FC2" w:rsidP="00CD4514">
            <w:pPr>
              <w:jc w:val="left"/>
              <w:rPr>
                <w:rFonts w:ascii="Calibri" w:hAnsi="Calibri" w:cs="Calibri"/>
              </w:rPr>
            </w:pPr>
            <w:r w:rsidRPr="00F74FC2">
              <w:rPr>
                <w:rFonts w:ascii="Calibri" w:hAnsi="Calibri" w:cs="Calibri"/>
              </w:rPr>
              <w:lastRenderedPageBreak/>
              <w:t>Kombinat</w:t>
            </w:r>
            <w:r>
              <w:rPr>
                <w:rFonts w:ascii="Calibri" w:hAnsi="Calibri" w:cs="Calibri"/>
              </w:rPr>
              <w:t>i</w:t>
            </w:r>
            <w:r w:rsidRPr="00F74FC2">
              <w:rPr>
                <w:rFonts w:ascii="Calibri" w:hAnsi="Calibri" w:cs="Calibri"/>
              </w:rPr>
              <w:t>ons</w:t>
            </w:r>
            <w:r>
              <w:rPr>
                <w:rFonts w:ascii="Calibri" w:hAnsi="Calibri" w:cs="Calibri"/>
              </w:rPr>
              <w:t>-</w:t>
            </w:r>
            <w:proofErr w:type="spellStart"/>
            <w:r w:rsidRPr="00F74FC2">
              <w:rPr>
                <w:rFonts w:ascii="Calibri" w:hAnsi="Calibri" w:cs="Calibri"/>
              </w:rPr>
              <w:t>präparate</w:t>
            </w:r>
            <w:bookmarkStart w:id="0" w:name="_GoBack"/>
            <w:bookmarkEnd w:id="0"/>
            <w:proofErr w:type="spellEnd"/>
            <w:r w:rsidRPr="00F74FC2">
              <w:rPr>
                <w:rFonts w:ascii="Calibri" w:hAnsi="Calibri" w:cs="Calibri"/>
              </w:rPr>
              <w:t xml:space="preserve"> </w:t>
            </w:r>
          </w:p>
        </w:tc>
        <w:tc>
          <w:tcPr>
            <w:tcW w:w="5699" w:type="dxa"/>
            <w:shd w:val="clear" w:color="auto" w:fill="FFFFFF"/>
          </w:tcPr>
          <w:p w:rsidR="00AB5D16" w:rsidRPr="00104EDD" w:rsidRDefault="00F74FC2" w:rsidP="00CD4514">
            <w:pPr>
              <w:numPr>
                <w:ilvl w:val="0"/>
                <w:numId w:val="10"/>
              </w:numPr>
              <w:jc w:val="left"/>
              <w:rPr>
                <w:rFonts w:ascii="Calibri" w:hAnsi="Calibri" w:cs="Calibri"/>
                <w:sz w:val="22"/>
                <w:szCs w:val="22"/>
              </w:rPr>
            </w:pPr>
            <w:r w:rsidRPr="00104EDD">
              <w:rPr>
                <w:rFonts w:ascii="Calibri" w:hAnsi="Calibri" w:cs="Calibri"/>
                <w:sz w:val="22"/>
                <w:szCs w:val="22"/>
              </w:rPr>
              <w:t xml:space="preserve">keine Verwendung von kombinierten </w:t>
            </w:r>
            <w:proofErr w:type="spellStart"/>
            <w:r w:rsidRPr="0069326E">
              <w:rPr>
                <w:rFonts w:ascii="Calibri" w:hAnsi="Calibri" w:cs="Calibri"/>
                <w:sz w:val="22"/>
                <w:szCs w:val="22"/>
              </w:rPr>
              <w:t>topischen</w:t>
            </w:r>
            <w:proofErr w:type="spellEnd"/>
            <w:r w:rsidRPr="00104EDD">
              <w:rPr>
                <w:rFonts w:ascii="Calibri" w:hAnsi="Calibri" w:cs="Calibri"/>
                <w:sz w:val="22"/>
                <w:szCs w:val="22"/>
              </w:rPr>
              <w:t xml:space="preserve"> Steroid-Antimykotika bei </w:t>
            </w:r>
            <w:proofErr w:type="spellStart"/>
            <w:r w:rsidRPr="00104EDD">
              <w:rPr>
                <w:rFonts w:ascii="Calibri" w:hAnsi="Calibri" w:cs="Calibri"/>
                <w:sz w:val="22"/>
                <w:szCs w:val="22"/>
              </w:rPr>
              <w:t>Tinea</w:t>
            </w:r>
            <w:proofErr w:type="spellEnd"/>
            <w:r w:rsidRPr="00104EDD">
              <w:rPr>
                <w:rFonts w:ascii="Calibri" w:hAnsi="Calibri" w:cs="Calibri"/>
                <w:sz w:val="22"/>
                <w:szCs w:val="22"/>
              </w:rPr>
              <w:t xml:space="preserve"> </w:t>
            </w:r>
            <w:proofErr w:type="spellStart"/>
            <w:r w:rsidRPr="00104EDD">
              <w:rPr>
                <w:rFonts w:ascii="Calibri" w:hAnsi="Calibri" w:cs="Calibri"/>
                <w:sz w:val="22"/>
                <w:szCs w:val="22"/>
              </w:rPr>
              <w:t>corporis</w:t>
            </w:r>
            <w:proofErr w:type="spellEnd"/>
            <w:r w:rsidRPr="00104EDD">
              <w:rPr>
                <w:rFonts w:ascii="Calibri" w:hAnsi="Calibri" w:cs="Calibri"/>
                <w:sz w:val="22"/>
                <w:szCs w:val="22"/>
              </w:rPr>
              <w:t xml:space="preserve">, Candida-Hautinfektionen und Windeldermatitis </w:t>
            </w:r>
          </w:p>
        </w:tc>
        <w:tc>
          <w:tcPr>
            <w:tcW w:w="6634" w:type="dxa"/>
            <w:shd w:val="clear" w:color="auto" w:fill="FFFFFF"/>
          </w:tcPr>
          <w:p w:rsidR="00AB5D16" w:rsidRPr="00104EDD" w:rsidRDefault="00A13250" w:rsidP="00CD4514">
            <w:pPr>
              <w:numPr>
                <w:ilvl w:val="0"/>
                <w:numId w:val="10"/>
              </w:numPr>
              <w:jc w:val="left"/>
              <w:rPr>
                <w:rFonts w:ascii="Calibri" w:hAnsi="Calibri" w:cs="Calibri"/>
                <w:sz w:val="22"/>
                <w:szCs w:val="22"/>
              </w:rPr>
            </w:pPr>
            <w:r w:rsidRPr="00104EDD">
              <w:rPr>
                <w:rFonts w:ascii="Calibri" w:hAnsi="Calibri" w:cs="Calibri"/>
                <w:sz w:val="22"/>
                <w:szCs w:val="22"/>
              </w:rPr>
              <w:t xml:space="preserve">Viele Kombinationsprodukte enthalten oftmals ein relativ hochpotentes </w:t>
            </w:r>
            <w:proofErr w:type="spellStart"/>
            <w:r w:rsidRPr="00104EDD">
              <w:rPr>
                <w:rFonts w:ascii="Calibri" w:hAnsi="Calibri" w:cs="Calibri"/>
                <w:sz w:val="22"/>
                <w:szCs w:val="22"/>
              </w:rPr>
              <w:t>topisches</w:t>
            </w:r>
            <w:proofErr w:type="spellEnd"/>
            <w:r w:rsidRPr="00104EDD">
              <w:rPr>
                <w:rFonts w:ascii="Calibri" w:hAnsi="Calibri" w:cs="Calibri"/>
                <w:sz w:val="22"/>
                <w:szCs w:val="22"/>
              </w:rPr>
              <w:t xml:space="preserve"> Steroid.</w:t>
            </w:r>
            <w:r w:rsidR="00CE547F" w:rsidRPr="00104EDD">
              <w:rPr>
                <w:sz w:val="22"/>
                <w:szCs w:val="22"/>
              </w:rPr>
              <w:t xml:space="preserve"> </w:t>
            </w:r>
            <w:r w:rsidR="00CE547F" w:rsidRPr="00104EDD">
              <w:rPr>
                <w:rFonts w:ascii="Calibri" w:hAnsi="Calibri" w:cs="Calibri"/>
                <w:sz w:val="22"/>
                <w:szCs w:val="22"/>
              </w:rPr>
              <w:t xml:space="preserve">Wenn Symptome wie starker Juckreiz die gleichzeitige Anwendung eines </w:t>
            </w:r>
            <w:proofErr w:type="spellStart"/>
            <w:r w:rsidR="00CE547F" w:rsidRPr="00104EDD">
              <w:rPr>
                <w:rFonts w:ascii="Calibri" w:hAnsi="Calibri" w:cs="Calibri"/>
                <w:sz w:val="22"/>
                <w:szCs w:val="22"/>
              </w:rPr>
              <w:t>topischen</w:t>
            </w:r>
            <w:proofErr w:type="spellEnd"/>
            <w:r w:rsidR="00CE547F" w:rsidRPr="00104EDD">
              <w:rPr>
                <w:rFonts w:ascii="Calibri" w:hAnsi="Calibri" w:cs="Calibri"/>
                <w:sz w:val="22"/>
                <w:szCs w:val="22"/>
              </w:rPr>
              <w:t xml:space="preserve"> Steroids erfordern, kann ein separates Mittel mit niedriger Potenz verschrieben werden, dessen Anwendung auf weniger als 2 Wochen begrenzt sein sollte.</w:t>
            </w:r>
          </w:p>
          <w:p w:rsidR="00643D7C" w:rsidRPr="00104EDD" w:rsidRDefault="00643D7C" w:rsidP="00CD4514">
            <w:pPr>
              <w:ind w:left="720"/>
              <w:jc w:val="left"/>
              <w:rPr>
                <w:rFonts w:ascii="Calibri" w:hAnsi="Calibri" w:cs="Calibri"/>
                <w:sz w:val="22"/>
                <w:szCs w:val="22"/>
              </w:rPr>
            </w:pPr>
            <w:r w:rsidRPr="00104EDD">
              <w:rPr>
                <w:rFonts w:ascii="Calibri" w:hAnsi="Calibri" w:cs="Calibri"/>
                <w:sz w:val="22"/>
                <w:szCs w:val="22"/>
              </w:rPr>
              <w:t xml:space="preserve">Kombinationsprodukte können, wenn sie bei jedem Windelwechsel aufgetragen werden, zu Hautatrophie, Striae und systemischer Absorption der relativ hochwirksamen </w:t>
            </w:r>
            <w:proofErr w:type="spellStart"/>
            <w:r w:rsidRPr="00104EDD">
              <w:rPr>
                <w:rFonts w:ascii="Calibri" w:hAnsi="Calibri" w:cs="Calibri"/>
                <w:sz w:val="22"/>
                <w:szCs w:val="22"/>
              </w:rPr>
              <w:t>topischen</w:t>
            </w:r>
            <w:proofErr w:type="spellEnd"/>
            <w:r w:rsidRPr="00104EDD">
              <w:rPr>
                <w:rFonts w:ascii="Calibri" w:hAnsi="Calibri" w:cs="Calibri"/>
                <w:sz w:val="22"/>
                <w:szCs w:val="22"/>
              </w:rPr>
              <w:t xml:space="preserve"> Steroide führen</w:t>
            </w:r>
            <w:r w:rsidR="00CD4BCB" w:rsidRPr="00104EDD">
              <w:rPr>
                <w:rFonts w:ascii="Calibri" w:hAnsi="Calibri" w:cs="Calibri"/>
                <w:sz w:val="22"/>
                <w:szCs w:val="22"/>
              </w:rPr>
              <w:t xml:space="preserve"> und sind zudem teuer.</w:t>
            </w:r>
            <w:r w:rsidR="0044512D">
              <w:rPr>
                <w:rFonts w:ascii="Calibri" w:hAnsi="Calibri" w:cs="Calibri"/>
                <w:sz w:val="22"/>
                <w:szCs w:val="22"/>
              </w:rPr>
              <w:t xml:space="preserve"> (21,22)</w:t>
            </w:r>
          </w:p>
        </w:tc>
      </w:tr>
      <w:tr w:rsidR="00D57024" w:rsidRPr="00852AC4" w:rsidTr="00CD4514">
        <w:tc>
          <w:tcPr>
            <w:tcW w:w="2376" w:type="dxa"/>
            <w:shd w:val="clear" w:color="auto" w:fill="FFFFFF" w:themeFill="background1"/>
          </w:tcPr>
          <w:p w:rsidR="00D57024" w:rsidRPr="004938E5" w:rsidRDefault="004938E5" w:rsidP="00CD4514">
            <w:pPr>
              <w:jc w:val="left"/>
              <w:rPr>
                <w:rFonts w:ascii="Calibri" w:hAnsi="Calibri" w:cs="Calibri"/>
              </w:rPr>
            </w:pPr>
            <w:r w:rsidRPr="004938E5">
              <w:rPr>
                <w:rFonts w:ascii="Calibri" w:hAnsi="Calibri" w:cs="Calibri"/>
              </w:rPr>
              <w:t>Übertherapie</w:t>
            </w:r>
          </w:p>
        </w:tc>
        <w:tc>
          <w:tcPr>
            <w:tcW w:w="5699" w:type="dxa"/>
            <w:shd w:val="clear" w:color="auto" w:fill="FFFFFF"/>
          </w:tcPr>
          <w:p w:rsidR="00966E75" w:rsidRPr="008253AA" w:rsidRDefault="00983D1B" w:rsidP="00CD4514">
            <w:pPr>
              <w:numPr>
                <w:ilvl w:val="0"/>
                <w:numId w:val="16"/>
              </w:numPr>
              <w:jc w:val="left"/>
              <w:rPr>
                <w:rFonts w:ascii="Calibri" w:hAnsi="Calibri" w:cs="Calibri"/>
                <w:sz w:val="22"/>
                <w:szCs w:val="22"/>
              </w:rPr>
            </w:pPr>
            <w:r w:rsidRPr="008253AA">
              <w:rPr>
                <w:rFonts w:ascii="Calibri" w:hAnsi="Calibri" w:cs="Calibri"/>
                <w:sz w:val="22"/>
                <w:szCs w:val="22"/>
              </w:rPr>
              <w:t xml:space="preserve">der Nachweis von Candida in Stuhlproben stellte keine Indikation zur </w:t>
            </w:r>
            <w:r w:rsidR="00DA3133" w:rsidRPr="008253AA">
              <w:rPr>
                <w:rFonts w:ascii="Calibri" w:hAnsi="Calibri" w:cs="Calibri"/>
                <w:sz w:val="22"/>
                <w:szCs w:val="22"/>
              </w:rPr>
              <w:t xml:space="preserve">antimykotischen </w:t>
            </w:r>
            <w:r w:rsidRPr="008253AA">
              <w:rPr>
                <w:rFonts w:ascii="Calibri" w:hAnsi="Calibri" w:cs="Calibri"/>
                <w:sz w:val="22"/>
                <w:szCs w:val="22"/>
              </w:rPr>
              <w:t>Therapie dar</w:t>
            </w:r>
          </w:p>
          <w:p w:rsidR="00966E75" w:rsidRPr="00104EDD" w:rsidRDefault="00966E75" w:rsidP="00CD4514">
            <w:pPr>
              <w:jc w:val="left"/>
              <w:rPr>
                <w:rFonts w:ascii="Calibri" w:hAnsi="Calibri" w:cs="Calibri"/>
                <w:sz w:val="22"/>
                <w:szCs w:val="22"/>
              </w:rPr>
            </w:pPr>
          </w:p>
          <w:p w:rsidR="00966E75" w:rsidRPr="00104EDD" w:rsidRDefault="00966E75" w:rsidP="00CD4514">
            <w:pPr>
              <w:jc w:val="left"/>
              <w:rPr>
                <w:rFonts w:ascii="Calibri" w:hAnsi="Calibri" w:cs="Calibri"/>
                <w:sz w:val="22"/>
                <w:szCs w:val="22"/>
              </w:rPr>
            </w:pPr>
          </w:p>
          <w:p w:rsidR="00966E75" w:rsidRPr="00104EDD" w:rsidRDefault="00966E75" w:rsidP="00CD4514">
            <w:pPr>
              <w:jc w:val="left"/>
              <w:rPr>
                <w:rFonts w:ascii="Calibri" w:hAnsi="Calibri" w:cs="Calibri"/>
                <w:sz w:val="22"/>
                <w:szCs w:val="22"/>
              </w:rPr>
            </w:pPr>
          </w:p>
          <w:p w:rsidR="00966E75" w:rsidRPr="00104EDD" w:rsidRDefault="00966E75" w:rsidP="00CD4514">
            <w:pPr>
              <w:jc w:val="left"/>
              <w:rPr>
                <w:rFonts w:ascii="Calibri" w:hAnsi="Calibri" w:cs="Calibri"/>
                <w:sz w:val="22"/>
                <w:szCs w:val="22"/>
              </w:rPr>
            </w:pPr>
          </w:p>
          <w:p w:rsidR="006A2244" w:rsidRPr="00614419" w:rsidRDefault="006A2244" w:rsidP="00CD4514">
            <w:pPr>
              <w:pStyle w:val="berschrift1"/>
              <w:numPr>
                <w:ilvl w:val="0"/>
                <w:numId w:val="11"/>
              </w:numPr>
              <w:jc w:val="left"/>
              <w:rPr>
                <w:rFonts w:ascii="Calibri" w:hAnsi="Calibri" w:cs="Calibri"/>
                <w:b w:val="0"/>
                <w:sz w:val="22"/>
                <w:szCs w:val="22"/>
              </w:rPr>
            </w:pPr>
            <w:r w:rsidRPr="00614419">
              <w:rPr>
                <w:rFonts w:ascii="Calibri" w:hAnsi="Calibri" w:cs="Calibri"/>
                <w:b w:val="0"/>
                <w:sz w:val="22"/>
                <w:szCs w:val="22"/>
              </w:rPr>
              <w:t>Eine Behandlung von Laborparametern (zum Beispiel RF positiv, ANA positiv) ohne passende Klinik soll nicht erfolgen</w:t>
            </w:r>
          </w:p>
          <w:p w:rsidR="007F0158" w:rsidRPr="00104EDD" w:rsidRDefault="007F0158" w:rsidP="00CD4514">
            <w:pPr>
              <w:rPr>
                <w:sz w:val="22"/>
                <w:szCs w:val="22"/>
              </w:rPr>
            </w:pPr>
          </w:p>
          <w:p w:rsidR="007F0158" w:rsidRPr="00104EDD" w:rsidRDefault="007F0158" w:rsidP="00CD4514">
            <w:pPr>
              <w:rPr>
                <w:sz w:val="22"/>
                <w:szCs w:val="22"/>
              </w:rPr>
            </w:pPr>
          </w:p>
          <w:p w:rsidR="008253AA" w:rsidRDefault="008253AA" w:rsidP="00CD4514">
            <w:pPr>
              <w:rPr>
                <w:sz w:val="22"/>
                <w:szCs w:val="22"/>
              </w:rPr>
            </w:pPr>
          </w:p>
          <w:p w:rsidR="00F168F9" w:rsidRDefault="00F168F9" w:rsidP="00CD4514">
            <w:pPr>
              <w:rPr>
                <w:sz w:val="22"/>
                <w:szCs w:val="22"/>
              </w:rPr>
            </w:pPr>
          </w:p>
          <w:p w:rsidR="007F0158" w:rsidRDefault="007F0158" w:rsidP="00CD4514">
            <w:pPr>
              <w:rPr>
                <w:sz w:val="22"/>
                <w:szCs w:val="22"/>
              </w:rPr>
            </w:pPr>
          </w:p>
          <w:p w:rsidR="00A33954" w:rsidRPr="00104EDD" w:rsidRDefault="00A33954" w:rsidP="00CD4514">
            <w:pPr>
              <w:rPr>
                <w:sz w:val="22"/>
                <w:szCs w:val="22"/>
              </w:rPr>
            </w:pPr>
          </w:p>
          <w:p w:rsidR="007F0158" w:rsidRPr="00104EDD" w:rsidRDefault="007F0158" w:rsidP="00CD4514">
            <w:pPr>
              <w:rPr>
                <w:sz w:val="22"/>
                <w:szCs w:val="22"/>
              </w:rPr>
            </w:pPr>
          </w:p>
          <w:p w:rsidR="00966E75" w:rsidRPr="00104EDD" w:rsidRDefault="00524E71" w:rsidP="00CD4514">
            <w:pPr>
              <w:numPr>
                <w:ilvl w:val="0"/>
                <w:numId w:val="11"/>
              </w:numPr>
              <w:jc w:val="left"/>
              <w:rPr>
                <w:rFonts w:ascii="Calibri" w:hAnsi="Calibri" w:cs="Calibri"/>
                <w:sz w:val="22"/>
                <w:szCs w:val="22"/>
              </w:rPr>
            </w:pPr>
            <w:r w:rsidRPr="00F168F9">
              <w:rPr>
                <w:rFonts w:ascii="Calibri" w:hAnsi="Calibri" w:cs="Calibri"/>
                <w:sz w:val="22"/>
                <w:szCs w:val="22"/>
              </w:rPr>
              <w:t>Systemische</w:t>
            </w:r>
            <w:r>
              <w:rPr>
                <w:rFonts w:ascii="Calibri" w:hAnsi="Calibri" w:cs="Calibri"/>
                <w:sz w:val="22"/>
                <w:szCs w:val="22"/>
              </w:rPr>
              <w:t xml:space="preserve"> </w:t>
            </w:r>
            <w:r w:rsidRPr="00104EDD">
              <w:rPr>
                <w:rFonts w:ascii="Calibri" w:hAnsi="Calibri" w:cs="Calibri"/>
                <w:sz w:val="22"/>
                <w:szCs w:val="22"/>
              </w:rPr>
              <w:t xml:space="preserve">Kortikosteroide </w:t>
            </w:r>
            <w:r w:rsidR="006A2244" w:rsidRPr="00104EDD">
              <w:rPr>
                <w:rFonts w:ascii="Calibri" w:hAnsi="Calibri" w:cs="Calibri"/>
                <w:sz w:val="22"/>
                <w:szCs w:val="22"/>
              </w:rPr>
              <w:t>in den meisten Fällen von atopischer Dermatitis</w:t>
            </w:r>
            <w:r>
              <w:rPr>
                <w:rFonts w:ascii="Calibri" w:hAnsi="Calibri" w:cs="Calibri"/>
                <w:sz w:val="22"/>
                <w:szCs w:val="22"/>
              </w:rPr>
              <w:t>,</w:t>
            </w:r>
            <w:r w:rsidR="006A2244" w:rsidRPr="00104EDD">
              <w:rPr>
                <w:rFonts w:ascii="Calibri" w:hAnsi="Calibri" w:cs="Calibri"/>
                <w:sz w:val="22"/>
                <w:szCs w:val="22"/>
              </w:rPr>
              <w:t xml:space="preserve"> </w:t>
            </w:r>
            <w:r w:rsidR="001D55B4" w:rsidRPr="00104EDD">
              <w:rPr>
                <w:rFonts w:ascii="Calibri" w:hAnsi="Calibri" w:cs="Calibri"/>
                <w:sz w:val="22"/>
                <w:szCs w:val="22"/>
              </w:rPr>
              <w:t>insbesondere bei Kindern</w:t>
            </w:r>
            <w:r>
              <w:rPr>
                <w:rFonts w:ascii="Calibri" w:hAnsi="Calibri" w:cs="Calibri"/>
                <w:sz w:val="22"/>
                <w:szCs w:val="22"/>
              </w:rPr>
              <w:t>, vermeiden</w:t>
            </w:r>
          </w:p>
        </w:tc>
        <w:tc>
          <w:tcPr>
            <w:tcW w:w="6634" w:type="dxa"/>
            <w:shd w:val="clear" w:color="auto" w:fill="FFFFFF"/>
          </w:tcPr>
          <w:p w:rsidR="00C067AD" w:rsidRPr="00614419" w:rsidRDefault="00966E75" w:rsidP="00CD4514">
            <w:pPr>
              <w:numPr>
                <w:ilvl w:val="0"/>
                <w:numId w:val="11"/>
              </w:numPr>
              <w:jc w:val="left"/>
              <w:rPr>
                <w:rFonts w:ascii="Calibri" w:hAnsi="Calibri" w:cs="Calibri"/>
                <w:sz w:val="22"/>
                <w:szCs w:val="22"/>
              </w:rPr>
            </w:pPr>
            <w:r w:rsidRPr="00614419">
              <w:rPr>
                <w:rFonts w:ascii="Calibri" w:hAnsi="Calibri" w:cs="Calibri"/>
                <w:sz w:val="22"/>
                <w:szCs w:val="22"/>
              </w:rPr>
              <w:t>Der Nachweis von Candida in Stuhlproben stellt ausschließlich die Besiedlung des Patienten, nicht aber eine Infektion und somit keine Indikation zur antimykotischen Therapie dar. Eine Candida-Besiedlung ist insbesondere bei Patienten nach oder unter einer Therapie mit Breitspektrum-Antibiotika häufig.</w:t>
            </w:r>
            <w:r w:rsidR="006C47E6">
              <w:rPr>
                <w:rFonts w:ascii="Calibri" w:hAnsi="Calibri" w:cs="Calibri"/>
                <w:sz w:val="22"/>
                <w:szCs w:val="22"/>
              </w:rPr>
              <w:t xml:space="preserve"> (23,24)</w:t>
            </w:r>
          </w:p>
          <w:p w:rsidR="00236704" w:rsidRPr="00D50011" w:rsidRDefault="006A2244" w:rsidP="00CD4514">
            <w:pPr>
              <w:numPr>
                <w:ilvl w:val="0"/>
                <w:numId w:val="11"/>
              </w:numPr>
              <w:jc w:val="left"/>
              <w:rPr>
                <w:rFonts w:ascii="Calibri" w:hAnsi="Calibri" w:cs="Calibri"/>
                <w:sz w:val="22"/>
                <w:szCs w:val="22"/>
              </w:rPr>
            </w:pPr>
            <w:r w:rsidRPr="00D50011">
              <w:rPr>
                <w:rFonts w:ascii="Calibri" w:hAnsi="Calibri" w:cs="Calibri"/>
                <w:sz w:val="22"/>
                <w:szCs w:val="22"/>
              </w:rPr>
              <w:t>Autoantikörper können in niedriger Prävalenz auch bei Gesunden detektierbar sein. Die höchste Prävalenz besteht für niedrig-</w:t>
            </w:r>
            <w:proofErr w:type="spellStart"/>
            <w:r w:rsidRPr="00D50011">
              <w:rPr>
                <w:rFonts w:ascii="Calibri" w:hAnsi="Calibri" w:cs="Calibri"/>
                <w:sz w:val="22"/>
                <w:szCs w:val="22"/>
              </w:rPr>
              <w:t>titrige</w:t>
            </w:r>
            <w:proofErr w:type="spellEnd"/>
            <w:r w:rsidRPr="00D50011">
              <w:rPr>
                <w:rFonts w:ascii="Calibri" w:hAnsi="Calibri" w:cs="Calibri"/>
                <w:sz w:val="22"/>
                <w:szCs w:val="22"/>
              </w:rPr>
              <w:t xml:space="preserve"> Antinukleäre Antikörper (ANA). So finden sich ANA mit einem Titer von 1:160 in bis zu 10 % der gesunden Bevölkerung. Auch andere Autoantikörper (ANCA, RF, ACLA) können bei Patienten ohne Anhalt für eine rheumatologische Grunderkrankung in einer niedrigen Prävalenz (von 0,73 % bis 38 % je nach Autoantikörper) detektiert werden, und scheinen mit dem Alter vermehrt nachweisbar zu sein</w:t>
            </w:r>
            <w:r w:rsidR="007C271D" w:rsidRPr="00D50011">
              <w:rPr>
                <w:rFonts w:ascii="Calibri" w:hAnsi="Calibri" w:cs="Calibri"/>
                <w:sz w:val="22"/>
                <w:szCs w:val="22"/>
              </w:rPr>
              <w:t xml:space="preserve"> </w:t>
            </w:r>
            <w:r w:rsidR="00004C75" w:rsidRPr="00D50011">
              <w:rPr>
                <w:rFonts w:ascii="Calibri" w:hAnsi="Calibri" w:cs="Calibri"/>
                <w:sz w:val="22"/>
                <w:szCs w:val="22"/>
              </w:rPr>
              <w:t>(25,26,27)</w:t>
            </w:r>
          </w:p>
          <w:p w:rsidR="001D55B4" w:rsidRPr="00614419" w:rsidRDefault="001D55B4" w:rsidP="00CD4514">
            <w:pPr>
              <w:numPr>
                <w:ilvl w:val="0"/>
                <w:numId w:val="11"/>
              </w:numPr>
              <w:jc w:val="left"/>
              <w:rPr>
                <w:rFonts w:ascii="Calibri" w:hAnsi="Calibri" w:cs="Calibri"/>
                <w:sz w:val="22"/>
                <w:szCs w:val="22"/>
              </w:rPr>
            </w:pPr>
            <w:r w:rsidRPr="00104EDD">
              <w:rPr>
                <w:rFonts w:ascii="Calibri" w:hAnsi="Calibri" w:cs="Calibri"/>
                <w:sz w:val="22"/>
                <w:szCs w:val="22"/>
              </w:rPr>
              <w:t xml:space="preserve">Nebenwirkungen systemischer Kortikosteroide </w:t>
            </w:r>
            <w:r w:rsidR="00236704" w:rsidRPr="00104EDD">
              <w:rPr>
                <w:rFonts w:ascii="Calibri" w:hAnsi="Calibri" w:cs="Calibri"/>
                <w:sz w:val="22"/>
                <w:szCs w:val="22"/>
              </w:rPr>
              <w:t>(W</w:t>
            </w:r>
            <w:r w:rsidRPr="00104EDD">
              <w:rPr>
                <w:rFonts w:ascii="Calibri" w:hAnsi="Calibri" w:cs="Calibri"/>
                <w:sz w:val="22"/>
                <w:szCs w:val="22"/>
              </w:rPr>
              <w:t>achstumsverzögerung, Unterdrückung der NNR-Funktion, Rebound-Effekt</w:t>
            </w:r>
            <w:r w:rsidR="00236704" w:rsidRPr="00104EDD">
              <w:rPr>
                <w:rFonts w:ascii="Calibri" w:hAnsi="Calibri" w:cs="Calibri"/>
                <w:sz w:val="22"/>
                <w:szCs w:val="22"/>
              </w:rPr>
              <w:t xml:space="preserve"> etc.)</w:t>
            </w:r>
            <w:r w:rsidRPr="00104EDD">
              <w:rPr>
                <w:rFonts w:ascii="Calibri" w:hAnsi="Calibri" w:cs="Calibri"/>
                <w:sz w:val="22"/>
                <w:szCs w:val="22"/>
              </w:rPr>
              <w:t xml:space="preserve"> schränken den Nutzen ein. Im Allgemeinen kann die atopische Dermatitis mit guter Hautpflege und verschreibungspflichtigen </w:t>
            </w:r>
            <w:proofErr w:type="spellStart"/>
            <w:r w:rsidRPr="00104EDD">
              <w:rPr>
                <w:rFonts w:ascii="Calibri" w:hAnsi="Calibri" w:cs="Calibri"/>
                <w:sz w:val="22"/>
                <w:szCs w:val="22"/>
              </w:rPr>
              <w:t>topischen</w:t>
            </w:r>
            <w:proofErr w:type="spellEnd"/>
            <w:r w:rsidRPr="00104EDD">
              <w:rPr>
                <w:rFonts w:ascii="Calibri" w:hAnsi="Calibri" w:cs="Calibri"/>
                <w:sz w:val="22"/>
                <w:szCs w:val="22"/>
              </w:rPr>
              <w:t xml:space="preserve"> Therapien angemessen kontrolliert werden. </w:t>
            </w:r>
            <w:r w:rsidR="00236704" w:rsidRPr="00104EDD">
              <w:rPr>
                <w:rFonts w:ascii="Calibri" w:hAnsi="Calibri" w:cs="Calibri"/>
                <w:sz w:val="22"/>
                <w:szCs w:val="22"/>
              </w:rPr>
              <w:t>S</w:t>
            </w:r>
            <w:r w:rsidRPr="00104EDD">
              <w:rPr>
                <w:rFonts w:ascii="Calibri" w:hAnsi="Calibri" w:cs="Calibri"/>
                <w:sz w:val="22"/>
                <w:szCs w:val="22"/>
              </w:rPr>
              <w:t xml:space="preserve">ystemische Kortikosteroide sollten nur bei </w:t>
            </w:r>
            <w:r w:rsidRPr="00104EDD">
              <w:rPr>
                <w:rFonts w:ascii="Calibri" w:hAnsi="Calibri" w:cs="Calibri"/>
                <w:sz w:val="22"/>
                <w:szCs w:val="22"/>
              </w:rPr>
              <w:lastRenderedPageBreak/>
              <w:t>schweren Krankheitsschüben verschrieben werden, wenn alle anderen Behandlungsmöglichkeiten ausgeschöpft sind</w:t>
            </w:r>
            <w:r w:rsidR="00236704" w:rsidRPr="00104EDD">
              <w:rPr>
                <w:rFonts w:ascii="Calibri" w:hAnsi="Calibri" w:cs="Calibri"/>
                <w:sz w:val="22"/>
                <w:szCs w:val="22"/>
              </w:rPr>
              <w:t xml:space="preserve"> </w:t>
            </w:r>
            <w:r w:rsidRPr="00104EDD">
              <w:rPr>
                <w:rFonts w:ascii="Calibri" w:hAnsi="Calibri" w:cs="Calibri"/>
                <w:sz w:val="22"/>
                <w:szCs w:val="22"/>
              </w:rPr>
              <w:t>und sollten auf einen kurzen Verlauf zum Zweck des Übergangs zu einer steroidsparenden systemischen Therapie beschränkt sein.</w:t>
            </w:r>
            <w:r w:rsidR="007C271D">
              <w:rPr>
                <w:rFonts w:ascii="Calibri" w:hAnsi="Calibri" w:cs="Calibri"/>
                <w:sz w:val="22"/>
                <w:szCs w:val="22"/>
              </w:rPr>
              <w:t xml:space="preserve"> </w:t>
            </w:r>
            <w:r w:rsidR="00C10DA7" w:rsidRPr="00C10DA7">
              <w:rPr>
                <w:rFonts w:ascii="Calibri" w:hAnsi="Calibri" w:cs="Calibri"/>
                <w:sz w:val="22"/>
                <w:szCs w:val="22"/>
              </w:rPr>
              <w:t>(28,29)</w:t>
            </w:r>
          </w:p>
        </w:tc>
      </w:tr>
    </w:tbl>
    <w:p w:rsidR="00706441" w:rsidRPr="0046700E" w:rsidRDefault="004D6C8C" w:rsidP="00CD4514">
      <w:pPr>
        <w:rPr>
          <w:rFonts w:ascii="Calibri" w:hAnsi="Calibri" w:cs="Calibri"/>
          <w:sz w:val="22"/>
          <w:szCs w:val="22"/>
        </w:rPr>
      </w:pPr>
      <w:r w:rsidRPr="00614419">
        <w:rPr>
          <w:rFonts w:ascii="Calibri" w:hAnsi="Calibri" w:cs="Calibri"/>
          <w:sz w:val="20"/>
          <w:szCs w:val="20"/>
        </w:rPr>
        <w:lastRenderedPageBreak/>
        <w:t>Quelle</w:t>
      </w:r>
      <w:r w:rsidR="002D2F8E" w:rsidRPr="00614419">
        <w:rPr>
          <w:rFonts w:ascii="Calibri" w:hAnsi="Calibri" w:cs="Calibri"/>
          <w:sz w:val="20"/>
          <w:szCs w:val="20"/>
        </w:rPr>
        <w:t>n</w:t>
      </w:r>
      <w:r w:rsidRPr="00614419">
        <w:rPr>
          <w:rFonts w:ascii="Calibri" w:hAnsi="Calibri" w:cs="Calibri"/>
          <w:sz w:val="20"/>
          <w:szCs w:val="20"/>
        </w:rPr>
        <w:t xml:space="preserve">: </w:t>
      </w:r>
      <w:hyperlink r:id="rId8" w:history="1">
        <w:r w:rsidR="00B13F46" w:rsidRPr="00614419">
          <w:rPr>
            <w:rStyle w:val="Hyperlink"/>
            <w:rFonts w:ascii="Calibri" w:hAnsi="Calibri" w:cs="Calibri"/>
            <w:sz w:val="20"/>
            <w:szCs w:val="20"/>
          </w:rPr>
          <w:t>https://www.choosingwisely.org/</w:t>
        </w:r>
      </w:hyperlink>
      <w:r w:rsidR="00B13F46" w:rsidRPr="00614419">
        <w:rPr>
          <w:rFonts w:ascii="Calibri" w:hAnsi="Calibri" w:cs="Calibri"/>
          <w:sz w:val="20"/>
          <w:szCs w:val="20"/>
        </w:rPr>
        <w:t xml:space="preserve">; </w:t>
      </w:r>
      <w:hyperlink r:id="rId9" w:history="1">
        <w:r w:rsidR="002D2F8E" w:rsidRPr="00614419">
          <w:rPr>
            <w:rStyle w:val="Hyperlink"/>
            <w:rFonts w:ascii="Calibri" w:hAnsi="Calibri" w:cs="Calibri"/>
            <w:sz w:val="20"/>
            <w:szCs w:val="20"/>
          </w:rPr>
          <w:t>https://www.klug-entscheiden.com/empfehlungen/uebersicht</w:t>
        </w:r>
      </w:hyperlink>
      <w:r w:rsidR="00A5742A">
        <w:rPr>
          <w:rFonts w:ascii="Calibri" w:hAnsi="Calibri" w:cs="Calibri"/>
          <w:sz w:val="20"/>
          <w:szCs w:val="20"/>
        </w:rPr>
        <w:t xml:space="preserve">, </w:t>
      </w:r>
      <w:hyperlink r:id="rId10" w:history="1">
        <w:r w:rsidR="00A5742A" w:rsidRPr="001E3728">
          <w:rPr>
            <w:rStyle w:val="Hyperlink"/>
            <w:rFonts w:ascii="Calibri" w:hAnsi="Calibri" w:cs="Calibri"/>
            <w:sz w:val="20"/>
            <w:szCs w:val="20"/>
          </w:rPr>
          <w:t>https://www.greenerpractice.co.uk/</w:t>
        </w:r>
      </w:hyperlink>
    </w:p>
    <w:p w:rsidR="009A068B" w:rsidRPr="0046700E" w:rsidRDefault="009A068B">
      <w:pPr>
        <w:rPr>
          <w:rFonts w:ascii="Calibri" w:hAnsi="Calibri" w:cs="Calibri"/>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827"/>
        <w:gridCol w:w="1559"/>
        <w:gridCol w:w="3402"/>
        <w:gridCol w:w="2268"/>
      </w:tblGrid>
      <w:tr w:rsidR="00CD4514" w:rsidRPr="00A32CE7" w:rsidTr="00CD4514">
        <w:tc>
          <w:tcPr>
            <w:tcW w:w="3681" w:type="dxa"/>
            <w:tcBorders>
              <w:top w:val="single" w:sz="4" w:space="0" w:color="auto"/>
              <w:left w:val="single" w:sz="4" w:space="0" w:color="auto"/>
              <w:bottom w:val="single" w:sz="4" w:space="0" w:color="auto"/>
              <w:right w:val="single" w:sz="4" w:space="0" w:color="auto"/>
            </w:tcBorders>
            <w:hideMark/>
          </w:tcPr>
          <w:p w:rsidR="00CD4514" w:rsidRPr="00A32CE7" w:rsidRDefault="00CD4514" w:rsidP="00FD6C04">
            <w:pPr>
              <w:rPr>
                <w:rFonts w:ascii="Calibri" w:hAnsi="Calibri" w:cs="Calibri"/>
                <w:b/>
                <w:bCs/>
                <w:sz w:val="18"/>
                <w:szCs w:val="18"/>
              </w:rPr>
            </w:pPr>
            <w:r w:rsidRPr="00A32CE7">
              <w:rPr>
                <w:rFonts w:ascii="Calibri" w:hAnsi="Calibri" w:cs="Calibri"/>
                <w:b/>
                <w:bCs/>
                <w:sz w:val="18"/>
                <w:szCs w:val="18"/>
              </w:rPr>
              <w:t>Erstellt von:</w:t>
            </w:r>
          </w:p>
          <w:p w:rsidR="00CD4514" w:rsidRPr="00A32CE7" w:rsidRDefault="00CD4514" w:rsidP="00FD6C04">
            <w:pPr>
              <w:rPr>
                <w:rFonts w:ascii="Calibri" w:hAnsi="Calibri" w:cs="Calibri"/>
                <w:b/>
                <w:bCs/>
                <w:sz w:val="18"/>
                <w:szCs w:val="18"/>
              </w:rPr>
            </w:pPr>
            <w:r w:rsidRPr="00A32CE7">
              <w:rPr>
                <w:rFonts w:ascii="Calibri" w:hAnsi="Calibri" w:cs="Calibri"/>
                <w:b/>
                <w:bCs/>
                <w:sz w:val="18"/>
                <w:szCs w:val="18"/>
              </w:rPr>
              <w:t>Datum:</w:t>
            </w:r>
          </w:p>
        </w:tc>
        <w:tc>
          <w:tcPr>
            <w:tcW w:w="3827" w:type="dxa"/>
            <w:tcBorders>
              <w:top w:val="single" w:sz="4" w:space="0" w:color="auto"/>
              <w:left w:val="single" w:sz="4" w:space="0" w:color="auto"/>
              <w:bottom w:val="single" w:sz="4" w:space="0" w:color="auto"/>
              <w:right w:val="single" w:sz="4" w:space="0" w:color="auto"/>
            </w:tcBorders>
            <w:hideMark/>
          </w:tcPr>
          <w:p w:rsidR="00CD4514" w:rsidRPr="00A32CE7" w:rsidRDefault="00CD4514" w:rsidP="00FD6C04">
            <w:pPr>
              <w:rPr>
                <w:rFonts w:ascii="Calibri" w:hAnsi="Calibri" w:cs="Calibri"/>
                <w:b/>
                <w:bCs/>
                <w:sz w:val="18"/>
                <w:szCs w:val="18"/>
              </w:rPr>
            </w:pPr>
            <w:r w:rsidRPr="00A32CE7">
              <w:rPr>
                <w:rFonts w:ascii="Calibri" w:hAnsi="Calibri" w:cs="Calibri"/>
                <w:b/>
                <w:bCs/>
                <w:sz w:val="18"/>
                <w:szCs w:val="18"/>
              </w:rPr>
              <w:t>Geprüft von:</w:t>
            </w:r>
          </w:p>
          <w:p w:rsidR="00CD4514" w:rsidRPr="00A32CE7" w:rsidRDefault="00CD4514" w:rsidP="00FD6C04">
            <w:pPr>
              <w:rPr>
                <w:rFonts w:ascii="Calibri" w:hAnsi="Calibri" w:cs="Calibri"/>
                <w:b/>
                <w:bCs/>
                <w:sz w:val="18"/>
                <w:szCs w:val="18"/>
              </w:rPr>
            </w:pPr>
            <w:r w:rsidRPr="00A32CE7">
              <w:rPr>
                <w:rFonts w:ascii="Calibri" w:hAnsi="Calibri" w:cs="Calibri"/>
                <w:b/>
                <w:bCs/>
                <w:sz w:val="18"/>
                <w:szCs w:val="18"/>
              </w:rPr>
              <w:t>Datum:</w:t>
            </w:r>
          </w:p>
        </w:tc>
        <w:tc>
          <w:tcPr>
            <w:tcW w:w="1559" w:type="dxa"/>
            <w:tcBorders>
              <w:top w:val="single" w:sz="4" w:space="0" w:color="auto"/>
              <w:left w:val="single" w:sz="4" w:space="0" w:color="auto"/>
              <w:bottom w:val="single" w:sz="4" w:space="0" w:color="auto"/>
              <w:right w:val="single" w:sz="4" w:space="0" w:color="auto"/>
            </w:tcBorders>
            <w:hideMark/>
          </w:tcPr>
          <w:p w:rsidR="00CD4514" w:rsidRPr="00A32CE7" w:rsidRDefault="00CD4514" w:rsidP="00FD6C04">
            <w:pPr>
              <w:rPr>
                <w:rFonts w:ascii="Calibri" w:hAnsi="Calibri" w:cs="Calibri"/>
                <w:b/>
                <w:bCs/>
                <w:sz w:val="18"/>
                <w:szCs w:val="18"/>
              </w:rPr>
            </w:pPr>
            <w:r w:rsidRPr="00A32CE7">
              <w:rPr>
                <w:rFonts w:ascii="Calibri" w:hAnsi="Calibri" w:cs="Calibri"/>
                <w:b/>
                <w:bCs/>
                <w:sz w:val="18"/>
                <w:szCs w:val="18"/>
              </w:rPr>
              <w:t>Version:</w:t>
            </w:r>
          </w:p>
        </w:tc>
        <w:tc>
          <w:tcPr>
            <w:tcW w:w="3402" w:type="dxa"/>
            <w:tcBorders>
              <w:top w:val="single" w:sz="4" w:space="0" w:color="auto"/>
              <w:left w:val="single" w:sz="4" w:space="0" w:color="auto"/>
              <w:bottom w:val="single" w:sz="4" w:space="0" w:color="auto"/>
              <w:right w:val="single" w:sz="4" w:space="0" w:color="auto"/>
            </w:tcBorders>
          </w:tcPr>
          <w:p w:rsidR="00CD4514" w:rsidRDefault="00CD4514" w:rsidP="00C522AB">
            <w:pPr>
              <w:jc w:val="left"/>
              <w:rPr>
                <w:rFonts w:ascii="Calibri" w:hAnsi="Calibri" w:cs="Calibri"/>
                <w:b/>
                <w:bCs/>
                <w:sz w:val="18"/>
                <w:szCs w:val="18"/>
              </w:rPr>
            </w:pPr>
            <w:r>
              <w:rPr>
                <w:rFonts w:ascii="Calibri" w:hAnsi="Calibri" w:cs="Calibri"/>
                <w:b/>
                <w:bCs/>
                <w:sz w:val="18"/>
                <w:szCs w:val="18"/>
              </w:rPr>
              <w:t>Freigabe von:</w:t>
            </w:r>
          </w:p>
          <w:p w:rsidR="00CD4514" w:rsidRPr="00A32CE7" w:rsidRDefault="00CD4514" w:rsidP="00C522AB">
            <w:pPr>
              <w:jc w:val="left"/>
              <w:rPr>
                <w:rFonts w:ascii="Calibri" w:hAnsi="Calibri" w:cs="Calibri"/>
                <w:b/>
                <w:bCs/>
                <w:sz w:val="18"/>
                <w:szCs w:val="18"/>
              </w:rPr>
            </w:pPr>
            <w:r>
              <w:rPr>
                <w:rFonts w:ascii="Calibri" w:hAnsi="Calibri" w:cs="Calibri"/>
                <w:b/>
                <w:bCs/>
                <w:sz w:val="18"/>
                <w:szCs w:val="18"/>
              </w:rPr>
              <w:t>Datum:</w:t>
            </w:r>
          </w:p>
        </w:tc>
        <w:tc>
          <w:tcPr>
            <w:tcW w:w="2268" w:type="dxa"/>
            <w:tcBorders>
              <w:top w:val="single" w:sz="4" w:space="0" w:color="auto"/>
              <w:left w:val="single" w:sz="4" w:space="0" w:color="auto"/>
              <w:bottom w:val="single" w:sz="4" w:space="0" w:color="auto"/>
              <w:right w:val="single" w:sz="4" w:space="0" w:color="auto"/>
            </w:tcBorders>
            <w:hideMark/>
          </w:tcPr>
          <w:p w:rsidR="00CD4514" w:rsidRPr="00A32CE7" w:rsidRDefault="00CD4514" w:rsidP="00C522AB">
            <w:pPr>
              <w:jc w:val="left"/>
              <w:rPr>
                <w:rFonts w:ascii="Calibri" w:hAnsi="Calibri" w:cs="Calibri"/>
                <w:b/>
                <w:bCs/>
                <w:sz w:val="18"/>
                <w:szCs w:val="18"/>
              </w:rPr>
            </w:pPr>
            <w:r w:rsidRPr="00A32CE7">
              <w:rPr>
                <w:rFonts w:ascii="Calibri" w:hAnsi="Calibri" w:cs="Calibri"/>
                <w:b/>
                <w:bCs/>
                <w:sz w:val="18"/>
                <w:szCs w:val="18"/>
              </w:rPr>
              <w:t xml:space="preserve">FB Klug entscheiden.docx                 </w:t>
            </w:r>
          </w:p>
          <w:p w:rsidR="00CD4514" w:rsidRPr="00A32CE7" w:rsidRDefault="00CD4514" w:rsidP="00C522AB">
            <w:pPr>
              <w:jc w:val="left"/>
              <w:rPr>
                <w:rFonts w:ascii="Calibri" w:hAnsi="Calibri" w:cs="Calibri"/>
                <w:b/>
                <w:bCs/>
                <w:sz w:val="18"/>
                <w:szCs w:val="18"/>
              </w:rPr>
            </w:pPr>
            <w:r w:rsidRPr="00A32CE7">
              <w:rPr>
                <w:rFonts w:ascii="Calibri" w:hAnsi="Calibri" w:cs="Calibri"/>
                <w:b/>
                <w:bCs/>
                <w:sz w:val="18"/>
                <w:szCs w:val="18"/>
              </w:rPr>
              <w:t>Seiten:6</w:t>
            </w:r>
          </w:p>
        </w:tc>
      </w:tr>
    </w:tbl>
    <w:p w:rsidR="007403D1" w:rsidRPr="00A32CE7" w:rsidRDefault="00E10A85" w:rsidP="000A5F65">
      <w:pPr>
        <w:spacing w:line="360" w:lineRule="auto"/>
        <w:ind w:left="357" w:hanging="357"/>
        <w:rPr>
          <w:rFonts w:asciiTheme="minorHAnsi" w:hAnsiTheme="minorHAnsi" w:cstheme="minorHAnsi"/>
        </w:rPr>
      </w:pPr>
      <w:r w:rsidRPr="00A32CE7">
        <w:rPr>
          <w:rFonts w:asciiTheme="minorHAnsi" w:hAnsiTheme="minorHAnsi" w:cstheme="minorHAnsi"/>
          <w:sz w:val="18"/>
          <w:szCs w:val="18"/>
        </w:rPr>
        <w:t>Version 1</w:t>
      </w:r>
      <w:r w:rsidR="0069326E" w:rsidRPr="00A32CE7">
        <w:rPr>
          <w:rFonts w:asciiTheme="minorHAnsi" w:hAnsiTheme="minorHAnsi" w:cstheme="minorHAnsi"/>
          <w:sz w:val="18"/>
          <w:szCs w:val="18"/>
        </w:rPr>
        <w:t>.1, 11.01.26, Dr. Christina Hecker</w:t>
      </w:r>
      <w:r w:rsidR="002F564D" w:rsidRPr="00A32CE7">
        <w:rPr>
          <w:rFonts w:asciiTheme="minorHAnsi" w:hAnsiTheme="minorHAnsi" w:cstheme="minorHAnsi"/>
          <w:sz w:val="18"/>
          <w:szCs w:val="18"/>
        </w:rPr>
        <w:t xml:space="preserve"> </w:t>
      </w:r>
    </w:p>
    <w:p w:rsidR="007403D1" w:rsidRDefault="007403D1" w:rsidP="007403D1"/>
    <w:p w:rsidR="00F91D14" w:rsidRPr="00762646" w:rsidRDefault="002A089F" w:rsidP="007403D1">
      <w:pPr>
        <w:rPr>
          <w:rFonts w:ascii="Calibri" w:hAnsi="Calibri" w:cs="Calibri"/>
          <w:b/>
        </w:rPr>
      </w:pPr>
      <w:r w:rsidRPr="00762646">
        <w:rPr>
          <w:rFonts w:ascii="Calibri" w:hAnsi="Calibri" w:cs="Calibri"/>
          <w:b/>
        </w:rPr>
        <w:t>Anhang 1: Literatur</w:t>
      </w:r>
    </w:p>
    <w:p w:rsidR="002A089F" w:rsidRPr="001348E3" w:rsidRDefault="002A089F" w:rsidP="002A089F">
      <w:pPr>
        <w:pStyle w:val="StandardWeb"/>
        <w:spacing w:before="0" w:beforeAutospacing="0" w:after="0" w:afterAutospacing="0"/>
        <w:rPr>
          <w:rFonts w:ascii="Calibri" w:hAnsi="Calibri" w:cs="Calibri"/>
          <w:sz w:val="22"/>
          <w:szCs w:val="22"/>
        </w:rPr>
      </w:pPr>
      <w:r w:rsidRPr="001348E3">
        <w:rPr>
          <w:rFonts w:ascii="Calibri" w:hAnsi="Calibri" w:cs="Calibri"/>
          <w:sz w:val="22"/>
          <w:szCs w:val="22"/>
        </w:rPr>
        <w:t xml:space="preserve">1. </w:t>
      </w:r>
      <w:proofErr w:type="spellStart"/>
      <w:r w:rsidRPr="001348E3">
        <w:rPr>
          <w:rFonts w:ascii="Calibri" w:hAnsi="Calibri" w:cs="Calibri"/>
          <w:sz w:val="22"/>
          <w:szCs w:val="22"/>
        </w:rPr>
        <w:t>Kreijkamp</w:t>
      </w:r>
      <w:proofErr w:type="spellEnd"/>
      <w:r w:rsidRPr="001348E3">
        <w:rPr>
          <w:rFonts w:ascii="Calibri" w:hAnsi="Calibri" w:cs="Calibri"/>
          <w:sz w:val="22"/>
          <w:szCs w:val="22"/>
        </w:rPr>
        <w:t xml:space="preserve">-Kaspers S, Hawke K, Guo L, </w:t>
      </w:r>
      <w:proofErr w:type="spellStart"/>
      <w:r w:rsidRPr="001348E3">
        <w:rPr>
          <w:rFonts w:ascii="Calibri" w:hAnsi="Calibri" w:cs="Calibri"/>
          <w:sz w:val="22"/>
          <w:szCs w:val="22"/>
        </w:rPr>
        <w:t>Kerin</w:t>
      </w:r>
      <w:proofErr w:type="spellEnd"/>
      <w:r w:rsidRPr="001348E3">
        <w:rPr>
          <w:rFonts w:ascii="Calibri" w:hAnsi="Calibri" w:cs="Calibri"/>
          <w:sz w:val="22"/>
          <w:szCs w:val="22"/>
        </w:rPr>
        <w:t xml:space="preserve"> G, Bell-</w:t>
      </w:r>
      <w:proofErr w:type="spellStart"/>
      <w:r w:rsidRPr="001348E3">
        <w:rPr>
          <w:rFonts w:ascii="Calibri" w:hAnsi="Calibri" w:cs="Calibri"/>
          <w:sz w:val="22"/>
          <w:szCs w:val="22"/>
        </w:rPr>
        <w:t>Syer</w:t>
      </w:r>
      <w:proofErr w:type="spellEnd"/>
      <w:r w:rsidRPr="001348E3">
        <w:rPr>
          <w:rFonts w:ascii="Calibri" w:hAnsi="Calibri" w:cs="Calibri"/>
          <w:sz w:val="22"/>
          <w:szCs w:val="22"/>
        </w:rPr>
        <w:t xml:space="preserve"> SE, Magin P, Bell-</w:t>
      </w:r>
      <w:proofErr w:type="spellStart"/>
      <w:r w:rsidRPr="001348E3">
        <w:rPr>
          <w:rFonts w:ascii="Calibri" w:hAnsi="Calibri" w:cs="Calibri"/>
          <w:sz w:val="22"/>
          <w:szCs w:val="22"/>
        </w:rPr>
        <w:t>Syer</w:t>
      </w:r>
      <w:proofErr w:type="spellEnd"/>
      <w:r w:rsidRPr="001348E3">
        <w:rPr>
          <w:rFonts w:ascii="Calibri" w:hAnsi="Calibri" w:cs="Calibri"/>
          <w:sz w:val="22"/>
          <w:szCs w:val="22"/>
        </w:rPr>
        <w:t xml:space="preserve"> SV, van </w:t>
      </w:r>
      <w:proofErr w:type="spellStart"/>
      <w:r w:rsidRPr="001348E3">
        <w:rPr>
          <w:rFonts w:ascii="Calibri" w:hAnsi="Calibri" w:cs="Calibri"/>
          <w:sz w:val="22"/>
          <w:szCs w:val="22"/>
        </w:rPr>
        <w:t>Driel</w:t>
      </w:r>
      <w:proofErr w:type="spellEnd"/>
      <w:r w:rsidRPr="001348E3">
        <w:rPr>
          <w:rFonts w:ascii="Calibri" w:hAnsi="Calibri" w:cs="Calibri"/>
          <w:sz w:val="22"/>
          <w:szCs w:val="22"/>
        </w:rPr>
        <w:t xml:space="preserve"> ML. Oral </w:t>
      </w:r>
      <w:proofErr w:type="spellStart"/>
      <w:r w:rsidRPr="001348E3">
        <w:rPr>
          <w:rFonts w:ascii="Calibri" w:hAnsi="Calibri" w:cs="Calibri"/>
          <w:sz w:val="22"/>
          <w:szCs w:val="22"/>
        </w:rPr>
        <w:t>antifungal</w:t>
      </w:r>
      <w:proofErr w:type="spellEnd"/>
      <w:r w:rsidRPr="001348E3">
        <w:rPr>
          <w:rFonts w:ascii="Calibri" w:hAnsi="Calibri" w:cs="Calibri"/>
          <w:sz w:val="22"/>
          <w:szCs w:val="22"/>
        </w:rPr>
        <w:t xml:space="preserve"> </w:t>
      </w:r>
      <w:proofErr w:type="spellStart"/>
      <w:r w:rsidRPr="001348E3">
        <w:rPr>
          <w:rFonts w:ascii="Calibri" w:hAnsi="Calibri" w:cs="Calibri"/>
          <w:sz w:val="22"/>
          <w:szCs w:val="22"/>
        </w:rPr>
        <w:t>medication</w:t>
      </w:r>
      <w:proofErr w:type="spellEnd"/>
      <w:r w:rsidRPr="001348E3">
        <w:rPr>
          <w:rFonts w:ascii="Calibri" w:hAnsi="Calibri" w:cs="Calibri"/>
          <w:sz w:val="22"/>
          <w:szCs w:val="22"/>
        </w:rPr>
        <w:t xml:space="preserve"> </w:t>
      </w:r>
      <w:proofErr w:type="spellStart"/>
      <w:r w:rsidRPr="001348E3">
        <w:rPr>
          <w:rFonts w:ascii="Calibri" w:hAnsi="Calibri" w:cs="Calibri"/>
          <w:sz w:val="22"/>
          <w:szCs w:val="22"/>
        </w:rPr>
        <w:t>for</w:t>
      </w:r>
      <w:proofErr w:type="spellEnd"/>
      <w:r w:rsidRPr="001348E3">
        <w:rPr>
          <w:rFonts w:ascii="Calibri" w:hAnsi="Calibri" w:cs="Calibri"/>
          <w:sz w:val="22"/>
          <w:szCs w:val="22"/>
        </w:rPr>
        <w:t xml:space="preserve"> </w:t>
      </w:r>
      <w:proofErr w:type="spellStart"/>
      <w:r w:rsidRPr="001348E3">
        <w:rPr>
          <w:rFonts w:ascii="Calibri" w:hAnsi="Calibri" w:cs="Calibri"/>
          <w:sz w:val="22"/>
          <w:szCs w:val="22"/>
        </w:rPr>
        <w:t>toenail</w:t>
      </w:r>
      <w:proofErr w:type="spellEnd"/>
      <w:r w:rsidRPr="001348E3">
        <w:rPr>
          <w:rFonts w:ascii="Calibri" w:hAnsi="Calibri" w:cs="Calibri"/>
          <w:sz w:val="22"/>
          <w:szCs w:val="22"/>
        </w:rPr>
        <w:t xml:space="preserve"> </w:t>
      </w:r>
      <w:proofErr w:type="spellStart"/>
      <w:r w:rsidRPr="001348E3">
        <w:rPr>
          <w:rFonts w:ascii="Calibri" w:hAnsi="Calibri" w:cs="Calibri"/>
          <w:sz w:val="22"/>
          <w:szCs w:val="22"/>
        </w:rPr>
        <w:t>onychomycosis</w:t>
      </w:r>
      <w:proofErr w:type="spellEnd"/>
      <w:r w:rsidRPr="001348E3">
        <w:rPr>
          <w:rFonts w:ascii="Calibri" w:hAnsi="Calibri" w:cs="Calibri"/>
          <w:sz w:val="22"/>
          <w:szCs w:val="22"/>
        </w:rPr>
        <w:t>. The Cochrane Library. 2017.</w:t>
      </w:r>
    </w:p>
    <w:p w:rsidR="002A089F" w:rsidRPr="001348E3" w:rsidRDefault="002A089F" w:rsidP="002A089F">
      <w:pPr>
        <w:pStyle w:val="StandardWeb"/>
        <w:spacing w:before="0" w:beforeAutospacing="0" w:after="0" w:afterAutospacing="0"/>
        <w:rPr>
          <w:rFonts w:ascii="Calibri" w:hAnsi="Calibri" w:cs="Calibri"/>
          <w:sz w:val="22"/>
          <w:szCs w:val="22"/>
        </w:rPr>
      </w:pPr>
      <w:r w:rsidRPr="001348E3">
        <w:rPr>
          <w:rFonts w:ascii="Calibri" w:hAnsi="Calibri" w:cs="Calibri"/>
          <w:sz w:val="22"/>
          <w:szCs w:val="22"/>
        </w:rPr>
        <w:t xml:space="preserve">2. Ameen M, Lear JT, </w:t>
      </w:r>
      <w:proofErr w:type="spellStart"/>
      <w:r w:rsidRPr="001348E3">
        <w:rPr>
          <w:rFonts w:ascii="Calibri" w:hAnsi="Calibri" w:cs="Calibri"/>
          <w:sz w:val="22"/>
          <w:szCs w:val="22"/>
        </w:rPr>
        <w:t>Madan</w:t>
      </w:r>
      <w:proofErr w:type="spellEnd"/>
      <w:r w:rsidRPr="001348E3">
        <w:rPr>
          <w:rFonts w:ascii="Calibri" w:hAnsi="Calibri" w:cs="Calibri"/>
          <w:sz w:val="22"/>
          <w:szCs w:val="22"/>
        </w:rPr>
        <w:t xml:space="preserve"> V, </w:t>
      </w:r>
      <w:proofErr w:type="spellStart"/>
      <w:r w:rsidRPr="001348E3">
        <w:rPr>
          <w:rFonts w:ascii="Calibri" w:hAnsi="Calibri" w:cs="Calibri"/>
          <w:sz w:val="22"/>
          <w:szCs w:val="22"/>
        </w:rPr>
        <w:t>Mohd</w:t>
      </w:r>
      <w:proofErr w:type="spellEnd"/>
      <w:r w:rsidRPr="001348E3">
        <w:rPr>
          <w:rFonts w:ascii="Calibri" w:hAnsi="Calibri" w:cs="Calibri"/>
          <w:sz w:val="22"/>
          <w:szCs w:val="22"/>
        </w:rPr>
        <w:t xml:space="preserve"> </w:t>
      </w:r>
      <w:proofErr w:type="spellStart"/>
      <w:r w:rsidRPr="001348E3">
        <w:rPr>
          <w:rFonts w:ascii="Calibri" w:hAnsi="Calibri" w:cs="Calibri"/>
          <w:sz w:val="22"/>
          <w:szCs w:val="22"/>
        </w:rPr>
        <w:t>Mustapa</w:t>
      </w:r>
      <w:proofErr w:type="spellEnd"/>
      <w:r w:rsidRPr="001348E3">
        <w:rPr>
          <w:rFonts w:ascii="Calibri" w:hAnsi="Calibri" w:cs="Calibri"/>
          <w:sz w:val="22"/>
          <w:szCs w:val="22"/>
        </w:rPr>
        <w:t xml:space="preserve"> MF, Richardson M. British </w:t>
      </w:r>
      <w:proofErr w:type="spellStart"/>
      <w:r w:rsidRPr="001348E3">
        <w:rPr>
          <w:rFonts w:ascii="Calibri" w:hAnsi="Calibri" w:cs="Calibri"/>
          <w:sz w:val="22"/>
          <w:szCs w:val="22"/>
        </w:rPr>
        <w:t>Association</w:t>
      </w:r>
      <w:proofErr w:type="spellEnd"/>
      <w:r w:rsidRPr="001348E3">
        <w:rPr>
          <w:rFonts w:ascii="Calibri" w:hAnsi="Calibri" w:cs="Calibri"/>
          <w:sz w:val="22"/>
          <w:szCs w:val="22"/>
        </w:rPr>
        <w:t xml:space="preserve"> </w:t>
      </w:r>
      <w:proofErr w:type="spellStart"/>
      <w:r w:rsidRPr="001348E3">
        <w:rPr>
          <w:rFonts w:ascii="Calibri" w:hAnsi="Calibri" w:cs="Calibri"/>
          <w:sz w:val="22"/>
          <w:szCs w:val="22"/>
        </w:rPr>
        <w:t>of</w:t>
      </w:r>
      <w:proofErr w:type="spellEnd"/>
      <w:r w:rsidRPr="001348E3">
        <w:rPr>
          <w:rFonts w:ascii="Calibri" w:hAnsi="Calibri" w:cs="Calibri"/>
          <w:sz w:val="22"/>
          <w:szCs w:val="22"/>
        </w:rPr>
        <w:t xml:space="preserve"> </w:t>
      </w:r>
      <w:proofErr w:type="spellStart"/>
      <w:r w:rsidRPr="001348E3">
        <w:rPr>
          <w:rFonts w:ascii="Calibri" w:hAnsi="Calibri" w:cs="Calibri"/>
          <w:sz w:val="22"/>
          <w:szCs w:val="22"/>
        </w:rPr>
        <w:t>Dermatologists</w:t>
      </w:r>
      <w:proofErr w:type="spellEnd"/>
      <w:r w:rsidRPr="001348E3">
        <w:rPr>
          <w:rFonts w:ascii="Calibri" w:hAnsi="Calibri" w:cs="Calibri"/>
          <w:sz w:val="22"/>
          <w:szCs w:val="22"/>
        </w:rPr>
        <w:t xml:space="preserve">’ </w:t>
      </w:r>
      <w:proofErr w:type="spellStart"/>
      <w:r w:rsidRPr="001348E3">
        <w:rPr>
          <w:rFonts w:ascii="Calibri" w:hAnsi="Calibri" w:cs="Calibri"/>
          <w:sz w:val="22"/>
          <w:szCs w:val="22"/>
        </w:rPr>
        <w:t>guidelines</w:t>
      </w:r>
      <w:proofErr w:type="spellEnd"/>
      <w:r w:rsidRPr="001348E3">
        <w:rPr>
          <w:rFonts w:ascii="Calibri" w:hAnsi="Calibri" w:cs="Calibri"/>
          <w:sz w:val="22"/>
          <w:szCs w:val="22"/>
        </w:rPr>
        <w:t xml:space="preserve"> </w:t>
      </w:r>
      <w:proofErr w:type="spellStart"/>
      <w:r w:rsidRPr="001348E3">
        <w:rPr>
          <w:rFonts w:ascii="Calibri" w:hAnsi="Calibri" w:cs="Calibri"/>
          <w:sz w:val="22"/>
          <w:szCs w:val="22"/>
        </w:rPr>
        <w:t>for</w:t>
      </w:r>
      <w:proofErr w:type="spellEnd"/>
      <w:r w:rsidRPr="001348E3">
        <w:rPr>
          <w:rFonts w:ascii="Calibri" w:hAnsi="Calibri" w:cs="Calibri"/>
          <w:sz w:val="22"/>
          <w:szCs w:val="22"/>
        </w:rPr>
        <w:t xml:space="preserve"> </w:t>
      </w:r>
      <w:proofErr w:type="spellStart"/>
      <w:r w:rsidRPr="001348E3">
        <w:rPr>
          <w:rFonts w:ascii="Calibri" w:hAnsi="Calibri" w:cs="Calibri"/>
          <w:sz w:val="22"/>
          <w:szCs w:val="22"/>
        </w:rPr>
        <w:t>the</w:t>
      </w:r>
      <w:proofErr w:type="spellEnd"/>
      <w:r w:rsidRPr="001348E3">
        <w:rPr>
          <w:rFonts w:ascii="Calibri" w:hAnsi="Calibri" w:cs="Calibri"/>
          <w:sz w:val="22"/>
          <w:szCs w:val="22"/>
        </w:rPr>
        <w:t xml:space="preserve"> </w:t>
      </w:r>
      <w:proofErr w:type="spellStart"/>
      <w:r w:rsidRPr="001348E3">
        <w:rPr>
          <w:rFonts w:ascii="Calibri" w:hAnsi="Calibri" w:cs="Calibri"/>
          <w:sz w:val="22"/>
          <w:szCs w:val="22"/>
        </w:rPr>
        <w:t>management</w:t>
      </w:r>
      <w:proofErr w:type="spellEnd"/>
      <w:r w:rsidRPr="001348E3">
        <w:rPr>
          <w:rFonts w:ascii="Calibri" w:hAnsi="Calibri" w:cs="Calibri"/>
          <w:sz w:val="22"/>
          <w:szCs w:val="22"/>
        </w:rPr>
        <w:t xml:space="preserve"> </w:t>
      </w:r>
      <w:proofErr w:type="spellStart"/>
      <w:r w:rsidRPr="001348E3">
        <w:rPr>
          <w:rFonts w:ascii="Calibri" w:hAnsi="Calibri" w:cs="Calibri"/>
          <w:sz w:val="22"/>
          <w:szCs w:val="22"/>
        </w:rPr>
        <w:t>of</w:t>
      </w:r>
      <w:proofErr w:type="spellEnd"/>
      <w:r w:rsidRPr="001348E3">
        <w:rPr>
          <w:rFonts w:ascii="Calibri" w:hAnsi="Calibri" w:cs="Calibri"/>
          <w:sz w:val="22"/>
          <w:szCs w:val="22"/>
        </w:rPr>
        <w:t xml:space="preserve"> </w:t>
      </w:r>
      <w:proofErr w:type="spellStart"/>
      <w:r w:rsidRPr="001348E3">
        <w:rPr>
          <w:rFonts w:ascii="Calibri" w:hAnsi="Calibri" w:cs="Calibri"/>
          <w:sz w:val="22"/>
          <w:szCs w:val="22"/>
        </w:rPr>
        <w:t>onychomycosis</w:t>
      </w:r>
      <w:proofErr w:type="spellEnd"/>
      <w:r w:rsidRPr="001348E3">
        <w:rPr>
          <w:rFonts w:ascii="Calibri" w:hAnsi="Calibri" w:cs="Calibri"/>
          <w:sz w:val="22"/>
          <w:szCs w:val="22"/>
        </w:rPr>
        <w:t xml:space="preserve"> 2014. Br J </w:t>
      </w:r>
      <w:proofErr w:type="spellStart"/>
      <w:r w:rsidRPr="001348E3">
        <w:rPr>
          <w:rFonts w:ascii="Calibri" w:hAnsi="Calibri" w:cs="Calibri"/>
          <w:sz w:val="22"/>
          <w:szCs w:val="22"/>
        </w:rPr>
        <w:t>Dermatol</w:t>
      </w:r>
      <w:proofErr w:type="spellEnd"/>
      <w:r w:rsidRPr="001348E3">
        <w:rPr>
          <w:rFonts w:ascii="Calibri" w:hAnsi="Calibri" w:cs="Calibri"/>
          <w:sz w:val="22"/>
          <w:szCs w:val="22"/>
        </w:rPr>
        <w:t>. 2014 Nov;</w:t>
      </w:r>
      <w:r w:rsidR="008F2BD5" w:rsidRPr="001348E3">
        <w:rPr>
          <w:rFonts w:ascii="Calibri" w:hAnsi="Calibri" w:cs="Calibri"/>
          <w:sz w:val="22"/>
          <w:szCs w:val="22"/>
        </w:rPr>
        <w:t xml:space="preserve"> </w:t>
      </w:r>
      <w:r w:rsidRPr="001348E3">
        <w:rPr>
          <w:rFonts w:ascii="Calibri" w:hAnsi="Calibri" w:cs="Calibri"/>
          <w:sz w:val="22"/>
          <w:szCs w:val="22"/>
        </w:rPr>
        <w:t>171:937-58.</w:t>
      </w:r>
    </w:p>
    <w:p w:rsidR="001F724F" w:rsidRPr="001348E3" w:rsidRDefault="001F724F" w:rsidP="001F724F">
      <w:pPr>
        <w:pStyle w:val="StandardWeb"/>
        <w:spacing w:before="0" w:beforeAutospacing="0" w:after="0" w:afterAutospacing="0"/>
        <w:rPr>
          <w:rFonts w:ascii="Calibri" w:hAnsi="Calibri" w:cs="Calibri"/>
          <w:sz w:val="22"/>
          <w:szCs w:val="22"/>
        </w:rPr>
      </w:pPr>
      <w:r w:rsidRPr="001348E3">
        <w:rPr>
          <w:rFonts w:ascii="Calibri" w:hAnsi="Calibri" w:cs="Calibri"/>
          <w:sz w:val="22"/>
          <w:szCs w:val="22"/>
        </w:rPr>
        <w:t xml:space="preserve">3. Francis NA, </w:t>
      </w:r>
      <w:proofErr w:type="spellStart"/>
      <w:r w:rsidRPr="001348E3">
        <w:rPr>
          <w:rFonts w:ascii="Calibri" w:hAnsi="Calibri" w:cs="Calibri"/>
          <w:sz w:val="22"/>
          <w:szCs w:val="22"/>
        </w:rPr>
        <w:t>Ridd</w:t>
      </w:r>
      <w:proofErr w:type="spellEnd"/>
      <w:r w:rsidRPr="001348E3">
        <w:rPr>
          <w:rFonts w:ascii="Calibri" w:hAnsi="Calibri" w:cs="Calibri"/>
          <w:sz w:val="22"/>
          <w:szCs w:val="22"/>
        </w:rPr>
        <w:t xml:space="preserve"> MJ Thomas-Jones E, Butler CC, Hood K, Shepherd V, </w:t>
      </w:r>
      <w:proofErr w:type="spellStart"/>
      <w:r w:rsidRPr="001348E3">
        <w:rPr>
          <w:rFonts w:ascii="Calibri" w:hAnsi="Calibri" w:cs="Calibri"/>
          <w:sz w:val="22"/>
          <w:szCs w:val="22"/>
        </w:rPr>
        <w:t>Marwick</w:t>
      </w:r>
      <w:proofErr w:type="spellEnd"/>
      <w:r w:rsidRPr="001348E3">
        <w:rPr>
          <w:rFonts w:ascii="Calibri" w:hAnsi="Calibri" w:cs="Calibri"/>
          <w:sz w:val="22"/>
          <w:szCs w:val="22"/>
        </w:rPr>
        <w:t xml:space="preserve"> CA, Huang C, </w:t>
      </w:r>
      <w:proofErr w:type="spellStart"/>
      <w:r w:rsidRPr="001348E3">
        <w:rPr>
          <w:rFonts w:ascii="Calibri" w:hAnsi="Calibri" w:cs="Calibri"/>
          <w:sz w:val="22"/>
          <w:szCs w:val="22"/>
        </w:rPr>
        <w:t>Longo</w:t>
      </w:r>
      <w:proofErr w:type="spellEnd"/>
      <w:r w:rsidRPr="001348E3">
        <w:rPr>
          <w:rFonts w:ascii="Calibri" w:hAnsi="Calibri" w:cs="Calibri"/>
          <w:sz w:val="22"/>
          <w:szCs w:val="22"/>
        </w:rPr>
        <w:t xml:space="preserve"> M, </w:t>
      </w:r>
      <w:proofErr w:type="spellStart"/>
      <w:r w:rsidRPr="001348E3">
        <w:rPr>
          <w:rFonts w:ascii="Calibri" w:hAnsi="Calibri" w:cs="Calibri"/>
          <w:sz w:val="22"/>
          <w:szCs w:val="22"/>
        </w:rPr>
        <w:t>Wootton</w:t>
      </w:r>
      <w:proofErr w:type="spellEnd"/>
      <w:r w:rsidRPr="001348E3">
        <w:rPr>
          <w:rFonts w:ascii="Calibri" w:hAnsi="Calibri" w:cs="Calibri"/>
          <w:sz w:val="22"/>
          <w:szCs w:val="22"/>
        </w:rPr>
        <w:t xml:space="preserve"> M, Sullivan F. Oral and </w:t>
      </w:r>
      <w:proofErr w:type="spellStart"/>
      <w:r w:rsidRPr="001348E3">
        <w:rPr>
          <w:rFonts w:ascii="Calibri" w:hAnsi="Calibri" w:cs="Calibri"/>
          <w:sz w:val="22"/>
          <w:szCs w:val="22"/>
        </w:rPr>
        <w:t>topical</w:t>
      </w:r>
      <w:proofErr w:type="spellEnd"/>
      <w:r w:rsidRPr="001348E3">
        <w:rPr>
          <w:rFonts w:ascii="Calibri" w:hAnsi="Calibri" w:cs="Calibri"/>
          <w:sz w:val="22"/>
          <w:szCs w:val="22"/>
        </w:rPr>
        <w:t xml:space="preserve"> </w:t>
      </w:r>
      <w:proofErr w:type="spellStart"/>
      <w:r w:rsidRPr="001348E3">
        <w:rPr>
          <w:rFonts w:ascii="Calibri" w:hAnsi="Calibri" w:cs="Calibri"/>
          <w:sz w:val="22"/>
          <w:szCs w:val="22"/>
        </w:rPr>
        <w:t>antibiotics</w:t>
      </w:r>
      <w:proofErr w:type="spellEnd"/>
      <w:r w:rsidRPr="001348E3">
        <w:rPr>
          <w:rFonts w:ascii="Calibri" w:hAnsi="Calibri" w:cs="Calibri"/>
          <w:sz w:val="22"/>
          <w:szCs w:val="22"/>
        </w:rPr>
        <w:t xml:space="preserve"> </w:t>
      </w:r>
      <w:proofErr w:type="spellStart"/>
      <w:r w:rsidRPr="001348E3">
        <w:rPr>
          <w:rFonts w:ascii="Calibri" w:hAnsi="Calibri" w:cs="Calibri"/>
          <w:sz w:val="22"/>
          <w:szCs w:val="22"/>
        </w:rPr>
        <w:t>for</w:t>
      </w:r>
      <w:proofErr w:type="spellEnd"/>
      <w:r w:rsidRPr="001348E3">
        <w:rPr>
          <w:rFonts w:ascii="Calibri" w:hAnsi="Calibri" w:cs="Calibri"/>
          <w:sz w:val="22"/>
          <w:szCs w:val="22"/>
        </w:rPr>
        <w:t xml:space="preserve"> </w:t>
      </w:r>
      <w:proofErr w:type="spellStart"/>
      <w:r w:rsidRPr="001348E3">
        <w:rPr>
          <w:rFonts w:ascii="Calibri" w:hAnsi="Calibri" w:cs="Calibri"/>
          <w:sz w:val="22"/>
          <w:szCs w:val="22"/>
        </w:rPr>
        <w:t>clinically</w:t>
      </w:r>
      <w:proofErr w:type="spellEnd"/>
      <w:r w:rsidRPr="001348E3">
        <w:rPr>
          <w:rFonts w:ascii="Calibri" w:hAnsi="Calibri" w:cs="Calibri"/>
          <w:sz w:val="22"/>
          <w:szCs w:val="22"/>
        </w:rPr>
        <w:t xml:space="preserve"> </w:t>
      </w:r>
      <w:proofErr w:type="spellStart"/>
      <w:r w:rsidRPr="001348E3">
        <w:rPr>
          <w:rFonts w:ascii="Calibri" w:hAnsi="Calibri" w:cs="Calibri"/>
          <w:sz w:val="22"/>
          <w:szCs w:val="22"/>
        </w:rPr>
        <w:t>infected</w:t>
      </w:r>
      <w:proofErr w:type="spellEnd"/>
      <w:r w:rsidRPr="001348E3">
        <w:rPr>
          <w:rFonts w:ascii="Calibri" w:hAnsi="Calibri" w:cs="Calibri"/>
          <w:sz w:val="22"/>
          <w:szCs w:val="22"/>
        </w:rPr>
        <w:t xml:space="preserve"> </w:t>
      </w:r>
      <w:proofErr w:type="spellStart"/>
      <w:r w:rsidRPr="001348E3">
        <w:rPr>
          <w:rFonts w:ascii="Calibri" w:hAnsi="Calibri" w:cs="Calibri"/>
          <w:sz w:val="22"/>
          <w:szCs w:val="22"/>
        </w:rPr>
        <w:t>eczema</w:t>
      </w:r>
      <w:proofErr w:type="spellEnd"/>
      <w:r w:rsidRPr="001348E3">
        <w:rPr>
          <w:rFonts w:ascii="Calibri" w:hAnsi="Calibri" w:cs="Calibri"/>
          <w:sz w:val="22"/>
          <w:szCs w:val="22"/>
        </w:rPr>
        <w:t xml:space="preserve"> in </w:t>
      </w:r>
      <w:proofErr w:type="spellStart"/>
      <w:r w:rsidRPr="001348E3">
        <w:rPr>
          <w:rFonts w:ascii="Calibri" w:hAnsi="Calibri" w:cs="Calibri"/>
          <w:sz w:val="22"/>
          <w:szCs w:val="22"/>
        </w:rPr>
        <w:t>children</w:t>
      </w:r>
      <w:proofErr w:type="spellEnd"/>
      <w:r w:rsidRPr="001348E3">
        <w:rPr>
          <w:rFonts w:ascii="Calibri" w:hAnsi="Calibri" w:cs="Calibri"/>
          <w:sz w:val="22"/>
          <w:szCs w:val="22"/>
        </w:rPr>
        <w:t xml:space="preserve">: a </w:t>
      </w:r>
      <w:proofErr w:type="spellStart"/>
      <w:r w:rsidRPr="001348E3">
        <w:rPr>
          <w:rFonts w:ascii="Calibri" w:hAnsi="Calibri" w:cs="Calibri"/>
          <w:sz w:val="22"/>
          <w:szCs w:val="22"/>
        </w:rPr>
        <w:t>pragmatic</w:t>
      </w:r>
      <w:proofErr w:type="spellEnd"/>
      <w:r w:rsidRPr="001348E3">
        <w:rPr>
          <w:rFonts w:ascii="Calibri" w:hAnsi="Calibri" w:cs="Calibri"/>
          <w:sz w:val="22"/>
          <w:szCs w:val="22"/>
        </w:rPr>
        <w:t xml:space="preserve"> </w:t>
      </w:r>
      <w:proofErr w:type="spellStart"/>
      <w:r w:rsidRPr="001348E3">
        <w:rPr>
          <w:rFonts w:ascii="Calibri" w:hAnsi="Calibri" w:cs="Calibri"/>
          <w:sz w:val="22"/>
          <w:szCs w:val="22"/>
        </w:rPr>
        <w:t>randomized</w:t>
      </w:r>
      <w:proofErr w:type="spellEnd"/>
      <w:r w:rsidRPr="001348E3">
        <w:rPr>
          <w:rFonts w:ascii="Calibri" w:hAnsi="Calibri" w:cs="Calibri"/>
          <w:sz w:val="22"/>
          <w:szCs w:val="22"/>
        </w:rPr>
        <w:t xml:space="preserve"> </w:t>
      </w:r>
      <w:proofErr w:type="spellStart"/>
      <w:r w:rsidRPr="001348E3">
        <w:rPr>
          <w:rFonts w:ascii="Calibri" w:hAnsi="Calibri" w:cs="Calibri"/>
          <w:sz w:val="22"/>
          <w:szCs w:val="22"/>
        </w:rPr>
        <w:t>controlled</w:t>
      </w:r>
      <w:proofErr w:type="spellEnd"/>
      <w:r w:rsidRPr="001348E3">
        <w:rPr>
          <w:rFonts w:ascii="Calibri" w:hAnsi="Calibri" w:cs="Calibri"/>
          <w:sz w:val="22"/>
          <w:szCs w:val="22"/>
        </w:rPr>
        <w:t xml:space="preserve"> </w:t>
      </w:r>
      <w:proofErr w:type="spellStart"/>
      <w:r w:rsidRPr="001348E3">
        <w:rPr>
          <w:rFonts w:ascii="Calibri" w:hAnsi="Calibri" w:cs="Calibri"/>
          <w:sz w:val="22"/>
          <w:szCs w:val="22"/>
        </w:rPr>
        <w:t>trial</w:t>
      </w:r>
      <w:proofErr w:type="spellEnd"/>
      <w:r w:rsidRPr="001348E3">
        <w:rPr>
          <w:rFonts w:ascii="Calibri" w:hAnsi="Calibri" w:cs="Calibri"/>
          <w:sz w:val="22"/>
          <w:szCs w:val="22"/>
        </w:rPr>
        <w:t xml:space="preserve"> in </w:t>
      </w:r>
      <w:proofErr w:type="spellStart"/>
      <w:r w:rsidRPr="001348E3">
        <w:rPr>
          <w:rFonts w:ascii="Calibri" w:hAnsi="Calibri" w:cs="Calibri"/>
          <w:sz w:val="22"/>
          <w:szCs w:val="22"/>
        </w:rPr>
        <w:t>ambulatory</w:t>
      </w:r>
      <w:proofErr w:type="spellEnd"/>
      <w:r w:rsidRPr="001348E3">
        <w:rPr>
          <w:rFonts w:ascii="Calibri" w:hAnsi="Calibri" w:cs="Calibri"/>
          <w:sz w:val="22"/>
          <w:szCs w:val="22"/>
        </w:rPr>
        <w:t xml:space="preserve"> care. Ann </w:t>
      </w:r>
      <w:proofErr w:type="spellStart"/>
      <w:r w:rsidRPr="001348E3">
        <w:rPr>
          <w:rFonts w:ascii="Calibri" w:hAnsi="Calibri" w:cs="Calibri"/>
          <w:sz w:val="22"/>
          <w:szCs w:val="22"/>
        </w:rPr>
        <w:t>Fam</w:t>
      </w:r>
      <w:proofErr w:type="spellEnd"/>
      <w:r w:rsidRPr="001348E3">
        <w:rPr>
          <w:rFonts w:ascii="Calibri" w:hAnsi="Calibri" w:cs="Calibri"/>
          <w:sz w:val="22"/>
          <w:szCs w:val="22"/>
        </w:rPr>
        <w:t xml:space="preserve"> Med. 2017;</w:t>
      </w:r>
      <w:r w:rsidR="00AA067A" w:rsidRPr="001348E3">
        <w:rPr>
          <w:rFonts w:ascii="Calibri" w:hAnsi="Calibri" w:cs="Calibri"/>
          <w:sz w:val="22"/>
          <w:szCs w:val="22"/>
        </w:rPr>
        <w:t xml:space="preserve"> </w:t>
      </w:r>
      <w:r w:rsidRPr="001348E3">
        <w:rPr>
          <w:rFonts w:ascii="Calibri" w:hAnsi="Calibri" w:cs="Calibri"/>
          <w:sz w:val="22"/>
          <w:szCs w:val="22"/>
        </w:rPr>
        <w:t>15:124-30.</w:t>
      </w:r>
    </w:p>
    <w:p w:rsidR="001F724F" w:rsidRPr="001348E3" w:rsidRDefault="00AA067A" w:rsidP="001F724F">
      <w:pPr>
        <w:pStyle w:val="StandardWeb"/>
        <w:spacing w:before="0" w:beforeAutospacing="0" w:after="0" w:afterAutospacing="0"/>
        <w:rPr>
          <w:rFonts w:ascii="Calibri" w:hAnsi="Calibri" w:cs="Calibri"/>
          <w:sz w:val="22"/>
          <w:szCs w:val="22"/>
        </w:rPr>
      </w:pPr>
      <w:r w:rsidRPr="001348E3">
        <w:rPr>
          <w:rFonts w:ascii="Calibri" w:hAnsi="Calibri" w:cs="Calibri"/>
          <w:sz w:val="22"/>
          <w:szCs w:val="22"/>
        </w:rPr>
        <w:t xml:space="preserve">4. </w:t>
      </w:r>
      <w:proofErr w:type="spellStart"/>
      <w:r w:rsidR="001F724F" w:rsidRPr="001348E3">
        <w:rPr>
          <w:rFonts w:ascii="Calibri" w:hAnsi="Calibri" w:cs="Calibri"/>
          <w:sz w:val="22"/>
          <w:szCs w:val="22"/>
        </w:rPr>
        <w:t>Sidbury</w:t>
      </w:r>
      <w:proofErr w:type="spellEnd"/>
      <w:r w:rsidR="001F724F" w:rsidRPr="001348E3">
        <w:rPr>
          <w:rFonts w:ascii="Calibri" w:hAnsi="Calibri" w:cs="Calibri"/>
          <w:sz w:val="22"/>
          <w:szCs w:val="22"/>
        </w:rPr>
        <w:t xml:space="preserve"> R, Davis DM, Cohen DE, </w:t>
      </w:r>
      <w:proofErr w:type="spellStart"/>
      <w:r w:rsidR="001F724F" w:rsidRPr="001348E3">
        <w:rPr>
          <w:rFonts w:ascii="Calibri" w:hAnsi="Calibri" w:cs="Calibri"/>
          <w:sz w:val="22"/>
          <w:szCs w:val="22"/>
        </w:rPr>
        <w:t>Cordoro</w:t>
      </w:r>
      <w:proofErr w:type="spellEnd"/>
      <w:r w:rsidR="001F724F" w:rsidRPr="001348E3">
        <w:rPr>
          <w:rFonts w:ascii="Calibri" w:hAnsi="Calibri" w:cs="Calibri"/>
          <w:sz w:val="22"/>
          <w:szCs w:val="22"/>
        </w:rPr>
        <w:t xml:space="preserve"> KM, Berger TG, Bergman JN, et al. Guidelines </w:t>
      </w:r>
      <w:proofErr w:type="spellStart"/>
      <w:r w:rsidR="001F724F" w:rsidRPr="001348E3">
        <w:rPr>
          <w:rFonts w:ascii="Calibri" w:hAnsi="Calibri" w:cs="Calibri"/>
          <w:sz w:val="22"/>
          <w:szCs w:val="22"/>
        </w:rPr>
        <w:t>of</w:t>
      </w:r>
      <w:proofErr w:type="spellEnd"/>
      <w:r w:rsidR="001F724F" w:rsidRPr="001348E3">
        <w:rPr>
          <w:rFonts w:ascii="Calibri" w:hAnsi="Calibri" w:cs="Calibri"/>
          <w:sz w:val="22"/>
          <w:szCs w:val="22"/>
        </w:rPr>
        <w:t xml:space="preserve"> care </w:t>
      </w:r>
      <w:proofErr w:type="spellStart"/>
      <w:r w:rsidR="001F724F" w:rsidRPr="001348E3">
        <w:rPr>
          <w:rFonts w:ascii="Calibri" w:hAnsi="Calibri" w:cs="Calibri"/>
          <w:sz w:val="22"/>
          <w:szCs w:val="22"/>
        </w:rPr>
        <w:t>for</w:t>
      </w:r>
      <w:proofErr w:type="spellEnd"/>
      <w:r w:rsidR="001F724F" w:rsidRPr="001348E3">
        <w:rPr>
          <w:rFonts w:ascii="Calibri" w:hAnsi="Calibri" w:cs="Calibri"/>
          <w:sz w:val="22"/>
          <w:szCs w:val="22"/>
        </w:rPr>
        <w:t xml:space="preserve"> </w:t>
      </w:r>
      <w:proofErr w:type="spellStart"/>
      <w:r w:rsidR="001F724F" w:rsidRPr="001348E3">
        <w:rPr>
          <w:rFonts w:ascii="Calibri" w:hAnsi="Calibri" w:cs="Calibri"/>
          <w:sz w:val="22"/>
          <w:szCs w:val="22"/>
        </w:rPr>
        <w:t>the</w:t>
      </w:r>
      <w:proofErr w:type="spellEnd"/>
      <w:r w:rsidR="001F724F" w:rsidRPr="001348E3">
        <w:rPr>
          <w:rFonts w:ascii="Calibri" w:hAnsi="Calibri" w:cs="Calibri"/>
          <w:sz w:val="22"/>
          <w:szCs w:val="22"/>
        </w:rPr>
        <w:t xml:space="preserve"> </w:t>
      </w:r>
      <w:proofErr w:type="spellStart"/>
      <w:r w:rsidR="001F724F" w:rsidRPr="001348E3">
        <w:rPr>
          <w:rFonts w:ascii="Calibri" w:hAnsi="Calibri" w:cs="Calibri"/>
          <w:sz w:val="22"/>
          <w:szCs w:val="22"/>
        </w:rPr>
        <w:t>management</w:t>
      </w:r>
      <w:proofErr w:type="spellEnd"/>
      <w:r w:rsidR="001F724F" w:rsidRPr="001348E3">
        <w:rPr>
          <w:rFonts w:ascii="Calibri" w:hAnsi="Calibri" w:cs="Calibri"/>
          <w:sz w:val="22"/>
          <w:szCs w:val="22"/>
        </w:rPr>
        <w:t xml:space="preserve"> </w:t>
      </w:r>
      <w:proofErr w:type="spellStart"/>
      <w:r w:rsidR="001F724F" w:rsidRPr="001348E3">
        <w:rPr>
          <w:rFonts w:ascii="Calibri" w:hAnsi="Calibri" w:cs="Calibri"/>
          <w:sz w:val="22"/>
          <w:szCs w:val="22"/>
        </w:rPr>
        <w:t>of</w:t>
      </w:r>
      <w:proofErr w:type="spellEnd"/>
      <w:r w:rsidR="001F724F" w:rsidRPr="001348E3">
        <w:rPr>
          <w:rFonts w:ascii="Calibri" w:hAnsi="Calibri" w:cs="Calibri"/>
          <w:sz w:val="22"/>
          <w:szCs w:val="22"/>
        </w:rPr>
        <w:t xml:space="preserve"> </w:t>
      </w:r>
      <w:proofErr w:type="spellStart"/>
      <w:r w:rsidR="001F724F" w:rsidRPr="001348E3">
        <w:rPr>
          <w:rFonts w:ascii="Calibri" w:hAnsi="Calibri" w:cs="Calibri"/>
          <w:sz w:val="22"/>
          <w:szCs w:val="22"/>
        </w:rPr>
        <w:t>atopic</w:t>
      </w:r>
      <w:proofErr w:type="spellEnd"/>
      <w:r w:rsidR="001F724F" w:rsidRPr="001348E3">
        <w:rPr>
          <w:rFonts w:ascii="Calibri" w:hAnsi="Calibri" w:cs="Calibri"/>
          <w:sz w:val="22"/>
          <w:szCs w:val="22"/>
        </w:rPr>
        <w:t xml:space="preserve"> </w:t>
      </w:r>
      <w:proofErr w:type="spellStart"/>
      <w:r w:rsidR="001F724F" w:rsidRPr="001348E3">
        <w:rPr>
          <w:rFonts w:ascii="Calibri" w:hAnsi="Calibri" w:cs="Calibri"/>
          <w:sz w:val="22"/>
          <w:szCs w:val="22"/>
        </w:rPr>
        <w:t>dermatitis</w:t>
      </w:r>
      <w:proofErr w:type="spellEnd"/>
      <w:r w:rsidR="001F724F" w:rsidRPr="001348E3">
        <w:rPr>
          <w:rFonts w:ascii="Calibri" w:hAnsi="Calibri" w:cs="Calibri"/>
          <w:sz w:val="22"/>
          <w:szCs w:val="22"/>
        </w:rPr>
        <w:t xml:space="preserve">: </w:t>
      </w:r>
      <w:proofErr w:type="spellStart"/>
      <w:r w:rsidR="001F724F" w:rsidRPr="001348E3">
        <w:rPr>
          <w:rFonts w:ascii="Calibri" w:hAnsi="Calibri" w:cs="Calibri"/>
          <w:sz w:val="22"/>
          <w:szCs w:val="22"/>
        </w:rPr>
        <w:t>section</w:t>
      </w:r>
      <w:proofErr w:type="spellEnd"/>
      <w:r w:rsidR="001F724F" w:rsidRPr="001348E3">
        <w:rPr>
          <w:rFonts w:ascii="Calibri" w:hAnsi="Calibri" w:cs="Calibri"/>
          <w:sz w:val="22"/>
          <w:szCs w:val="22"/>
        </w:rPr>
        <w:t xml:space="preserve"> 3. Management and </w:t>
      </w:r>
      <w:proofErr w:type="spellStart"/>
      <w:r w:rsidR="001F724F" w:rsidRPr="001348E3">
        <w:rPr>
          <w:rFonts w:ascii="Calibri" w:hAnsi="Calibri" w:cs="Calibri"/>
          <w:sz w:val="22"/>
          <w:szCs w:val="22"/>
        </w:rPr>
        <w:t>treatment</w:t>
      </w:r>
      <w:proofErr w:type="spellEnd"/>
      <w:r w:rsidR="001F724F" w:rsidRPr="001348E3">
        <w:rPr>
          <w:rFonts w:ascii="Calibri" w:hAnsi="Calibri" w:cs="Calibri"/>
          <w:sz w:val="22"/>
          <w:szCs w:val="22"/>
        </w:rPr>
        <w:t xml:space="preserve"> </w:t>
      </w:r>
      <w:proofErr w:type="spellStart"/>
      <w:r w:rsidR="001F724F" w:rsidRPr="001348E3">
        <w:rPr>
          <w:rFonts w:ascii="Calibri" w:hAnsi="Calibri" w:cs="Calibri"/>
          <w:sz w:val="22"/>
          <w:szCs w:val="22"/>
        </w:rPr>
        <w:t>with</w:t>
      </w:r>
      <w:proofErr w:type="spellEnd"/>
      <w:r w:rsidR="001F724F" w:rsidRPr="001348E3">
        <w:rPr>
          <w:rFonts w:ascii="Calibri" w:hAnsi="Calibri" w:cs="Calibri"/>
          <w:sz w:val="22"/>
          <w:szCs w:val="22"/>
        </w:rPr>
        <w:t xml:space="preserve"> </w:t>
      </w:r>
      <w:proofErr w:type="spellStart"/>
      <w:r w:rsidR="001F724F" w:rsidRPr="001348E3">
        <w:rPr>
          <w:rFonts w:ascii="Calibri" w:hAnsi="Calibri" w:cs="Calibri"/>
          <w:sz w:val="22"/>
          <w:szCs w:val="22"/>
        </w:rPr>
        <w:t>phototherapy</w:t>
      </w:r>
      <w:proofErr w:type="spellEnd"/>
      <w:r w:rsidR="001F724F" w:rsidRPr="001348E3">
        <w:rPr>
          <w:rFonts w:ascii="Calibri" w:hAnsi="Calibri" w:cs="Calibri"/>
          <w:sz w:val="22"/>
          <w:szCs w:val="22"/>
        </w:rPr>
        <w:t xml:space="preserve"> and </w:t>
      </w:r>
      <w:proofErr w:type="spellStart"/>
      <w:r w:rsidR="001F724F" w:rsidRPr="001348E3">
        <w:rPr>
          <w:rFonts w:ascii="Calibri" w:hAnsi="Calibri" w:cs="Calibri"/>
          <w:sz w:val="22"/>
          <w:szCs w:val="22"/>
        </w:rPr>
        <w:t>systemic</w:t>
      </w:r>
      <w:proofErr w:type="spellEnd"/>
      <w:r w:rsidR="001F724F" w:rsidRPr="001348E3">
        <w:rPr>
          <w:rFonts w:ascii="Calibri" w:hAnsi="Calibri" w:cs="Calibri"/>
          <w:sz w:val="22"/>
          <w:szCs w:val="22"/>
        </w:rPr>
        <w:t xml:space="preserve"> </w:t>
      </w:r>
      <w:proofErr w:type="spellStart"/>
      <w:r w:rsidR="001F724F" w:rsidRPr="001348E3">
        <w:rPr>
          <w:rFonts w:ascii="Calibri" w:hAnsi="Calibri" w:cs="Calibri"/>
          <w:sz w:val="22"/>
          <w:szCs w:val="22"/>
        </w:rPr>
        <w:t>agents</w:t>
      </w:r>
      <w:proofErr w:type="spellEnd"/>
      <w:r w:rsidR="001F724F" w:rsidRPr="001348E3">
        <w:rPr>
          <w:rFonts w:ascii="Calibri" w:hAnsi="Calibri" w:cs="Calibri"/>
          <w:sz w:val="22"/>
          <w:szCs w:val="22"/>
        </w:rPr>
        <w:t xml:space="preserve">. J Am </w:t>
      </w:r>
      <w:proofErr w:type="spellStart"/>
      <w:r w:rsidR="001F724F" w:rsidRPr="001348E3">
        <w:rPr>
          <w:rFonts w:ascii="Calibri" w:hAnsi="Calibri" w:cs="Calibri"/>
          <w:sz w:val="22"/>
          <w:szCs w:val="22"/>
        </w:rPr>
        <w:t>Acad</w:t>
      </w:r>
      <w:proofErr w:type="spellEnd"/>
      <w:r w:rsidR="001F724F" w:rsidRPr="001348E3">
        <w:rPr>
          <w:rFonts w:ascii="Calibri" w:hAnsi="Calibri" w:cs="Calibri"/>
          <w:sz w:val="22"/>
          <w:szCs w:val="22"/>
        </w:rPr>
        <w:t xml:space="preserve"> </w:t>
      </w:r>
      <w:proofErr w:type="spellStart"/>
      <w:r w:rsidR="001F724F" w:rsidRPr="001348E3">
        <w:rPr>
          <w:rFonts w:ascii="Calibri" w:hAnsi="Calibri" w:cs="Calibri"/>
          <w:sz w:val="22"/>
          <w:szCs w:val="22"/>
        </w:rPr>
        <w:t>Dermatol</w:t>
      </w:r>
      <w:proofErr w:type="spellEnd"/>
      <w:r w:rsidR="001F724F" w:rsidRPr="001348E3">
        <w:rPr>
          <w:rFonts w:ascii="Calibri" w:hAnsi="Calibri" w:cs="Calibri"/>
          <w:sz w:val="22"/>
          <w:szCs w:val="22"/>
        </w:rPr>
        <w:t>. 2014 Aug;71(2):327-49.</w:t>
      </w:r>
    </w:p>
    <w:p w:rsidR="007C70CB" w:rsidRPr="001348E3" w:rsidRDefault="007C70CB" w:rsidP="007C70CB">
      <w:pPr>
        <w:pStyle w:val="StandardWeb"/>
        <w:spacing w:before="0" w:beforeAutospacing="0" w:after="0" w:afterAutospacing="0"/>
        <w:rPr>
          <w:rFonts w:ascii="Calibri" w:hAnsi="Calibri" w:cs="Calibri"/>
          <w:sz w:val="22"/>
          <w:szCs w:val="22"/>
        </w:rPr>
      </w:pPr>
      <w:r w:rsidRPr="001348E3">
        <w:rPr>
          <w:rFonts w:ascii="Calibri" w:hAnsi="Calibri" w:cs="Calibri"/>
          <w:sz w:val="22"/>
          <w:szCs w:val="22"/>
        </w:rPr>
        <w:t xml:space="preserve">5. Diven DG, Dozier SE, Meyer </w:t>
      </w:r>
      <w:proofErr w:type="gramStart"/>
      <w:r w:rsidRPr="001348E3">
        <w:rPr>
          <w:rFonts w:ascii="Calibri" w:hAnsi="Calibri" w:cs="Calibri"/>
          <w:sz w:val="22"/>
          <w:szCs w:val="22"/>
        </w:rPr>
        <w:t>DJ ,</w:t>
      </w:r>
      <w:proofErr w:type="gramEnd"/>
      <w:r w:rsidRPr="001348E3">
        <w:rPr>
          <w:rFonts w:ascii="Calibri" w:hAnsi="Calibri" w:cs="Calibri"/>
          <w:sz w:val="22"/>
          <w:szCs w:val="22"/>
        </w:rPr>
        <w:t xml:space="preserve"> Smith EB. </w:t>
      </w:r>
      <w:proofErr w:type="spellStart"/>
      <w:r w:rsidRPr="001348E3">
        <w:rPr>
          <w:rFonts w:ascii="Calibri" w:hAnsi="Calibri" w:cs="Calibri"/>
          <w:sz w:val="22"/>
          <w:szCs w:val="22"/>
        </w:rPr>
        <w:t>Bacteriology</w:t>
      </w:r>
      <w:proofErr w:type="spellEnd"/>
      <w:r w:rsidRPr="001348E3">
        <w:rPr>
          <w:rFonts w:ascii="Calibri" w:hAnsi="Calibri" w:cs="Calibri"/>
          <w:sz w:val="22"/>
          <w:szCs w:val="22"/>
        </w:rPr>
        <w:t xml:space="preserve"> </w:t>
      </w:r>
      <w:proofErr w:type="spellStart"/>
      <w:r w:rsidRPr="001348E3">
        <w:rPr>
          <w:rFonts w:ascii="Calibri" w:hAnsi="Calibri" w:cs="Calibri"/>
          <w:sz w:val="22"/>
          <w:szCs w:val="22"/>
        </w:rPr>
        <w:t>of</w:t>
      </w:r>
      <w:proofErr w:type="spellEnd"/>
      <w:r w:rsidRPr="001348E3">
        <w:rPr>
          <w:rFonts w:ascii="Calibri" w:hAnsi="Calibri" w:cs="Calibri"/>
          <w:sz w:val="22"/>
          <w:szCs w:val="22"/>
        </w:rPr>
        <w:t xml:space="preserve"> </w:t>
      </w:r>
      <w:proofErr w:type="spellStart"/>
      <w:r w:rsidRPr="001348E3">
        <w:rPr>
          <w:rFonts w:ascii="Calibri" w:hAnsi="Calibri" w:cs="Calibri"/>
          <w:sz w:val="22"/>
          <w:szCs w:val="22"/>
        </w:rPr>
        <w:t>inflamed</w:t>
      </w:r>
      <w:proofErr w:type="spellEnd"/>
      <w:r w:rsidRPr="001348E3">
        <w:rPr>
          <w:rFonts w:ascii="Calibri" w:hAnsi="Calibri" w:cs="Calibri"/>
          <w:sz w:val="22"/>
          <w:szCs w:val="22"/>
        </w:rPr>
        <w:t xml:space="preserve"> and </w:t>
      </w:r>
      <w:proofErr w:type="spellStart"/>
      <w:r w:rsidRPr="001348E3">
        <w:rPr>
          <w:rFonts w:ascii="Calibri" w:hAnsi="Calibri" w:cs="Calibri"/>
          <w:sz w:val="22"/>
          <w:szCs w:val="22"/>
        </w:rPr>
        <w:t>uninflamed</w:t>
      </w:r>
      <w:proofErr w:type="spellEnd"/>
      <w:r w:rsidRPr="001348E3">
        <w:rPr>
          <w:rFonts w:ascii="Calibri" w:hAnsi="Calibri" w:cs="Calibri"/>
          <w:sz w:val="22"/>
          <w:szCs w:val="22"/>
        </w:rPr>
        <w:t xml:space="preserve"> epidermal </w:t>
      </w:r>
      <w:proofErr w:type="spellStart"/>
      <w:r w:rsidRPr="001348E3">
        <w:rPr>
          <w:rFonts w:ascii="Calibri" w:hAnsi="Calibri" w:cs="Calibri"/>
          <w:sz w:val="22"/>
          <w:szCs w:val="22"/>
        </w:rPr>
        <w:t>inclusion</w:t>
      </w:r>
      <w:proofErr w:type="spellEnd"/>
      <w:r w:rsidRPr="001348E3">
        <w:rPr>
          <w:rFonts w:ascii="Calibri" w:hAnsi="Calibri" w:cs="Calibri"/>
          <w:sz w:val="22"/>
          <w:szCs w:val="22"/>
        </w:rPr>
        <w:t xml:space="preserve"> </w:t>
      </w:r>
      <w:proofErr w:type="spellStart"/>
      <w:r w:rsidRPr="001348E3">
        <w:rPr>
          <w:rFonts w:ascii="Calibri" w:hAnsi="Calibri" w:cs="Calibri"/>
          <w:sz w:val="22"/>
          <w:szCs w:val="22"/>
        </w:rPr>
        <w:t>cysts</w:t>
      </w:r>
      <w:proofErr w:type="spellEnd"/>
      <w:r w:rsidRPr="001348E3">
        <w:rPr>
          <w:rFonts w:ascii="Calibri" w:hAnsi="Calibri" w:cs="Calibri"/>
          <w:sz w:val="22"/>
          <w:szCs w:val="22"/>
        </w:rPr>
        <w:t xml:space="preserve">. Arch </w:t>
      </w:r>
      <w:proofErr w:type="spellStart"/>
      <w:r w:rsidRPr="001348E3">
        <w:rPr>
          <w:rFonts w:ascii="Calibri" w:hAnsi="Calibri" w:cs="Calibri"/>
          <w:sz w:val="22"/>
          <w:szCs w:val="22"/>
        </w:rPr>
        <w:t>Dermatol</w:t>
      </w:r>
      <w:proofErr w:type="spellEnd"/>
      <w:r w:rsidRPr="001348E3">
        <w:rPr>
          <w:rFonts w:ascii="Calibri" w:hAnsi="Calibri" w:cs="Calibri"/>
          <w:sz w:val="22"/>
          <w:szCs w:val="22"/>
        </w:rPr>
        <w:t xml:space="preserve"> 1998; 134:49-51. </w:t>
      </w:r>
    </w:p>
    <w:p w:rsidR="007C70CB" w:rsidRPr="001348E3" w:rsidRDefault="007C70CB" w:rsidP="007C70CB">
      <w:pPr>
        <w:pStyle w:val="StandardWeb"/>
        <w:spacing w:before="0" w:beforeAutospacing="0" w:after="0" w:afterAutospacing="0"/>
        <w:rPr>
          <w:rFonts w:ascii="Calibri" w:hAnsi="Calibri" w:cs="Calibri"/>
          <w:sz w:val="22"/>
          <w:szCs w:val="22"/>
        </w:rPr>
      </w:pPr>
      <w:r w:rsidRPr="001348E3">
        <w:rPr>
          <w:rFonts w:ascii="Calibri" w:hAnsi="Calibri" w:cs="Calibri"/>
          <w:sz w:val="22"/>
          <w:szCs w:val="22"/>
        </w:rPr>
        <w:t>6. Stevens DL et al (</w:t>
      </w:r>
      <w:proofErr w:type="spellStart"/>
      <w:r w:rsidRPr="001348E3">
        <w:rPr>
          <w:rFonts w:ascii="Calibri" w:hAnsi="Calibri" w:cs="Calibri"/>
          <w:sz w:val="22"/>
          <w:szCs w:val="22"/>
        </w:rPr>
        <w:t>Clin</w:t>
      </w:r>
      <w:proofErr w:type="spellEnd"/>
      <w:r w:rsidRPr="001348E3">
        <w:rPr>
          <w:rFonts w:ascii="Calibri" w:hAnsi="Calibri" w:cs="Calibri"/>
          <w:sz w:val="22"/>
          <w:szCs w:val="22"/>
        </w:rPr>
        <w:t xml:space="preserve"> </w:t>
      </w:r>
      <w:proofErr w:type="spellStart"/>
      <w:r w:rsidRPr="001348E3">
        <w:rPr>
          <w:rFonts w:ascii="Calibri" w:hAnsi="Calibri" w:cs="Calibri"/>
          <w:sz w:val="22"/>
          <w:szCs w:val="22"/>
        </w:rPr>
        <w:t>Infect</w:t>
      </w:r>
      <w:proofErr w:type="spellEnd"/>
      <w:r w:rsidRPr="001348E3">
        <w:rPr>
          <w:rFonts w:ascii="Calibri" w:hAnsi="Calibri" w:cs="Calibri"/>
          <w:sz w:val="22"/>
          <w:szCs w:val="22"/>
        </w:rPr>
        <w:t xml:space="preserve"> Dis 2014; 59:147-59). </w:t>
      </w:r>
      <w:proofErr w:type="spellStart"/>
      <w:r w:rsidRPr="001348E3">
        <w:rPr>
          <w:rFonts w:ascii="Calibri" w:hAnsi="Calibri" w:cs="Calibri"/>
          <w:sz w:val="22"/>
          <w:szCs w:val="22"/>
        </w:rPr>
        <w:t>Clin</w:t>
      </w:r>
      <w:proofErr w:type="spellEnd"/>
      <w:r w:rsidRPr="001348E3">
        <w:rPr>
          <w:rFonts w:ascii="Calibri" w:hAnsi="Calibri" w:cs="Calibri"/>
          <w:sz w:val="22"/>
          <w:szCs w:val="22"/>
        </w:rPr>
        <w:t xml:space="preserve"> </w:t>
      </w:r>
      <w:proofErr w:type="spellStart"/>
      <w:r w:rsidRPr="001348E3">
        <w:rPr>
          <w:rFonts w:ascii="Calibri" w:hAnsi="Calibri" w:cs="Calibri"/>
          <w:sz w:val="22"/>
          <w:szCs w:val="22"/>
        </w:rPr>
        <w:t>Infect</w:t>
      </w:r>
      <w:proofErr w:type="spellEnd"/>
      <w:r w:rsidRPr="001348E3">
        <w:rPr>
          <w:rFonts w:ascii="Calibri" w:hAnsi="Calibri" w:cs="Calibri"/>
          <w:sz w:val="22"/>
          <w:szCs w:val="22"/>
        </w:rPr>
        <w:t xml:space="preserve"> Dis. 2015;60(9):1448. doi:10.1093/</w:t>
      </w:r>
      <w:proofErr w:type="spellStart"/>
      <w:r w:rsidRPr="001348E3">
        <w:rPr>
          <w:rFonts w:ascii="Calibri" w:hAnsi="Calibri" w:cs="Calibri"/>
          <w:sz w:val="22"/>
          <w:szCs w:val="22"/>
        </w:rPr>
        <w:t>cid</w:t>
      </w:r>
      <w:proofErr w:type="spellEnd"/>
      <w:r w:rsidRPr="001348E3">
        <w:rPr>
          <w:rFonts w:ascii="Calibri" w:hAnsi="Calibri" w:cs="Calibri"/>
          <w:sz w:val="22"/>
          <w:szCs w:val="22"/>
        </w:rPr>
        <w:t>/civ114</w:t>
      </w:r>
    </w:p>
    <w:p w:rsidR="00B967A4" w:rsidRPr="001348E3" w:rsidRDefault="00B967A4" w:rsidP="007C70CB">
      <w:pPr>
        <w:pStyle w:val="StandardWeb"/>
        <w:spacing w:before="0" w:beforeAutospacing="0" w:after="0" w:afterAutospacing="0"/>
        <w:rPr>
          <w:rFonts w:ascii="Calibri" w:hAnsi="Calibri" w:cs="Calibri"/>
          <w:sz w:val="22"/>
          <w:szCs w:val="22"/>
        </w:rPr>
      </w:pPr>
      <w:r w:rsidRPr="001348E3">
        <w:rPr>
          <w:rFonts w:ascii="Calibri" w:hAnsi="Calibri" w:cs="Calibri"/>
          <w:sz w:val="22"/>
          <w:szCs w:val="22"/>
        </w:rPr>
        <w:t xml:space="preserve">7. </w:t>
      </w:r>
      <w:proofErr w:type="spellStart"/>
      <w:r w:rsidRPr="001348E3">
        <w:rPr>
          <w:rFonts w:ascii="Calibri" w:hAnsi="Calibri" w:cs="Calibri"/>
          <w:sz w:val="22"/>
          <w:szCs w:val="22"/>
        </w:rPr>
        <w:t>Auwarter</w:t>
      </w:r>
      <w:proofErr w:type="spellEnd"/>
      <w:r w:rsidRPr="001348E3">
        <w:rPr>
          <w:rFonts w:ascii="Calibri" w:hAnsi="Calibri" w:cs="Calibri"/>
          <w:sz w:val="22"/>
          <w:szCs w:val="22"/>
        </w:rPr>
        <w:t xml:space="preserve"> PG, Bakken JS, </w:t>
      </w:r>
      <w:proofErr w:type="spellStart"/>
      <w:r w:rsidRPr="001348E3">
        <w:rPr>
          <w:rFonts w:ascii="Calibri" w:hAnsi="Calibri" w:cs="Calibri"/>
          <w:sz w:val="22"/>
          <w:szCs w:val="22"/>
        </w:rPr>
        <w:t>Dattwyler</w:t>
      </w:r>
      <w:proofErr w:type="spellEnd"/>
      <w:r w:rsidRPr="001348E3">
        <w:rPr>
          <w:rFonts w:ascii="Calibri" w:hAnsi="Calibri" w:cs="Calibri"/>
          <w:sz w:val="22"/>
          <w:szCs w:val="22"/>
        </w:rPr>
        <w:t xml:space="preserve"> RS, et al.: </w:t>
      </w:r>
      <w:proofErr w:type="spellStart"/>
      <w:r w:rsidRPr="001348E3">
        <w:rPr>
          <w:rFonts w:ascii="Calibri" w:hAnsi="Calibri" w:cs="Calibri"/>
          <w:sz w:val="22"/>
          <w:szCs w:val="22"/>
        </w:rPr>
        <w:t>Antiscience</w:t>
      </w:r>
      <w:proofErr w:type="spellEnd"/>
      <w:r w:rsidRPr="001348E3">
        <w:rPr>
          <w:rFonts w:ascii="Calibri" w:hAnsi="Calibri" w:cs="Calibri"/>
          <w:sz w:val="22"/>
          <w:szCs w:val="22"/>
        </w:rPr>
        <w:t xml:space="preserve"> and </w:t>
      </w:r>
      <w:proofErr w:type="spellStart"/>
      <w:r w:rsidRPr="001348E3">
        <w:rPr>
          <w:rFonts w:ascii="Calibri" w:hAnsi="Calibri" w:cs="Calibri"/>
          <w:sz w:val="22"/>
          <w:szCs w:val="22"/>
        </w:rPr>
        <w:t>ethical</w:t>
      </w:r>
      <w:proofErr w:type="spellEnd"/>
      <w:r w:rsidRPr="001348E3">
        <w:rPr>
          <w:rFonts w:ascii="Calibri" w:hAnsi="Calibri" w:cs="Calibri"/>
          <w:sz w:val="22"/>
          <w:szCs w:val="22"/>
        </w:rPr>
        <w:t xml:space="preserve"> </w:t>
      </w:r>
      <w:proofErr w:type="spellStart"/>
      <w:r w:rsidRPr="001348E3">
        <w:rPr>
          <w:rFonts w:ascii="Calibri" w:hAnsi="Calibri" w:cs="Calibri"/>
          <w:sz w:val="22"/>
          <w:szCs w:val="22"/>
        </w:rPr>
        <w:t>concerns</w:t>
      </w:r>
      <w:proofErr w:type="spellEnd"/>
      <w:r w:rsidRPr="001348E3">
        <w:rPr>
          <w:rFonts w:ascii="Calibri" w:hAnsi="Calibri" w:cs="Calibri"/>
          <w:sz w:val="22"/>
          <w:szCs w:val="22"/>
        </w:rPr>
        <w:t xml:space="preserve"> </w:t>
      </w:r>
      <w:proofErr w:type="spellStart"/>
      <w:r w:rsidRPr="001348E3">
        <w:rPr>
          <w:rFonts w:ascii="Calibri" w:hAnsi="Calibri" w:cs="Calibri"/>
          <w:sz w:val="22"/>
          <w:szCs w:val="22"/>
        </w:rPr>
        <w:t>associated</w:t>
      </w:r>
      <w:proofErr w:type="spellEnd"/>
      <w:r w:rsidRPr="001348E3">
        <w:rPr>
          <w:rFonts w:ascii="Calibri" w:hAnsi="Calibri" w:cs="Calibri"/>
          <w:sz w:val="22"/>
          <w:szCs w:val="22"/>
        </w:rPr>
        <w:t xml:space="preserve"> </w:t>
      </w:r>
      <w:proofErr w:type="spellStart"/>
      <w:r w:rsidRPr="001348E3">
        <w:rPr>
          <w:rFonts w:ascii="Calibri" w:hAnsi="Calibri" w:cs="Calibri"/>
          <w:sz w:val="22"/>
          <w:szCs w:val="22"/>
        </w:rPr>
        <w:t>with</w:t>
      </w:r>
      <w:proofErr w:type="spellEnd"/>
      <w:r w:rsidRPr="001348E3">
        <w:rPr>
          <w:rFonts w:ascii="Calibri" w:hAnsi="Calibri" w:cs="Calibri"/>
          <w:sz w:val="22"/>
          <w:szCs w:val="22"/>
        </w:rPr>
        <w:t xml:space="preserve"> </w:t>
      </w:r>
      <w:proofErr w:type="spellStart"/>
      <w:r w:rsidRPr="001348E3">
        <w:rPr>
          <w:rFonts w:ascii="Calibri" w:hAnsi="Calibri" w:cs="Calibri"/>
          <w:sz w:val="22"/>
          <w:szCs w:val="22"/>
        </w:rPr>
        <w:t>advocacy</w:t>
      </w:r>
      <w:proofErr w:type="spellEnd"/>
      <w:r w:rsidRPr="001348E3">
        <w:rPr>
          <w:rFonts w:ascii="Calibri" w:hAnsi="Calibri" w:cs="Calibri"/>
          <w:sz w:val="22"/>
          <w:szCs w:val="22"/>
        </w:rPr>
        <w:t xml:space="preserve"> </w:t>
      </w:r>
      <w:proofErr w:type="spellStart"/>
      <w:r w:rsidRPr="001348E3">
        <w:rPr>
          <w:rFonts w:ascii="Calibri" w:hAnsi="Calibri" w:cs="Calibri"/>
          <w:sz w:val="22"/>
          <w:szCs w:val="22"/>
        </w:rPr>
        <w:t>of</w:t>
      </w:r>
      <w:proofErr w:type="spellEnd"/>
      <w:r w:rsidRPr="001348E3">
        <w:rPr>
          <w:rFonts w:ascii="Calibri" w:hAnsi="Calibri" w:cs="Calibri"/>
          <w:sz w:val="22"/>
          <w:szCs w:val="22"/>
        </w:rPr>
        <w:t xml:space="preserve"> </w:t>
      </w:r>
      <w:proofErr w:type="spellStart"/>
      <w:r w:rsidRPr="001348E3">
        <w:rPr>
          <w:rFonts w:ascii="Calibri" w:hAnsi="Calibri" w:cs="Calibri"/>
          <w:sz w:val="22"/>
          <w:szCs w:val="22"/>
        </w:rPr>
        <w:t>Lyme</w:t>
      </w:r>
      <w:proofErr w:type="spellEnd"/>
      <w:r w:rsidRPr="001348E3">
        <w:rPr>
          <w:rFonts w:ascii="Calibri" w:hAnsi="Calibri" w:cs="Calibri"/>
          <w:sz w:val="22"/>
          <w:szCs w:val="22"/>
        </w:rPr>
        <w:t xml:space="preserve"> </w:t>
      </w:r>
      <w:proofErr w:type="spellStart"/>
      <w:r w:rsidRPr="001348E3">
        <w:rPr>
          <w:rFonts w:ascii="Calibri" w:hAnsi="Calibri" w:cs="Calibri"/>
          <w:sz w:val="22"/>
          <w:szCs w:val="22"/>
        </w:rPr>
        <w:t>desease</w:t>
      </w:r>
      <w:proofErr w:type="spellEnd"/>
      <w:r w:rsidRPr="001348E3">
        <w:rPr>
          <w:rFonts w:ascii="Calibri" w:hAnsi="Calibri" w:cs="Calibri"/>
          <w:sz w:val="22"/>
          <w:szCs w:val="22"/>
        </w:rPr>
        <w:t xml:space="preserve">. Lancet </w:t>
      </w:r>
      <w:proofErr w:type="spellStart"/>
      <w:r w:rsidRPr="001348E3">
        <w:rPr>
          <w:rFonts w:ascii="Calibri" w:hAnsi="Calibri" w:cs="Calibri"/>
          <w:sz w:val="22"/>
          <w:szCs w:val="22"/>
        </w:rPr>
        <w:t>Infect</w:t>
      </w:r>
      <w:proofErr w:type="spellEnd"/>
      <w:r w:rsidRPr="001348E3">
        <w:rPr>
          <w:rFonts w:ascii="Calibri" w:hAnsi="Calibri" w:cs="Calibri"/>
          <w:sz w:val="22"/>
          <w:szCs w:val="22"/>
        </w:rPr>
        <w:t xml:space="preserve"> Dis 2011; 11: 713-9.</w:t>
      </w:r>
    </w:p>
    <w:p w:rsidR="00B967A4" w:rsidRPr="001348E3" w:rsidRDefault="00B967A4" w:rsidP="007C70CB">
      <w:pPr>
        <w:pStyle w:val="StandardWeb"/>
        <w:spacing w:before="0" w:beforeAutospacing="0" w:after="0" w:afterAutospacing="0"/>
        <w:rPr>
          <w:rFonts w:ascii="Calibri" w:hAnsi="Calibri" w:cs="Calibri"/>
          <w:sz w:val="22"/>
          <w:szCs w:val="22"/>
        </w:rPr>
      </w:pPr>
      <w:r w:rsidRPr="001348E3">
        <w:rPr>
          <w:rFonts w:ascii="Calibri" w:hAnsi="Calibri" w:cs="Calibri"/>
          <w:sz w:val="22"/>
          <w:szCs w:val="22"/>
        </w:rPr>
        <w:t>8.</w:t>
      </w:r>
      <w:r w:rsidR="00E2584D" w:rsidRPr="001348E3">
        <w:rPr>
          <w:rFonts w:ascii="Calibri" w:hAnsi="Calibri" w:cs="Calibri"/>
          <w:sz w:val="22"/>
          <w:szCs w:val="22"/>
        </w:rPr>
        <w:t xml:space="preserve"> </w:t>
      </w:r>
      <w:r w:rsidRPr="001348E3">
        <w:rPr>
          <w:rFonts w:ascii="Calibri" w:hAnsi="Calibri" w:cs="Calibri"/>
          <w:sz w:val="22"/>
          <w:szCs w:val="22"/>
        </w:rPr>
        <w:t xml:space="preserve">Stanek G, Fingerle V, </w:t>
      </w:r>
      <w:proofErr w:type="spellStart"/>
      <w:r w:rsidRPr="001348E3">
        <w:rPr>
          <w:rFonts w:ascii="Calibri" w:hAnsi="Calibri" w:cs="Calibri"/>
          <w:sz w:val="22"/>
          <w:szCs w:val="22"/>
        </w:rPr>
        <w:t>Hunfeld</w:t>
      </w:r>
      <w:proofErr w:type="spellEnd"/>
      <w:r w:rsidRPr="001348E3">
        <w:rPr>
          <w:rFonts w:ascii="Calibri" w:hAnsi="Calibri" w:cs="Calibri"/>
          <w:sz w:val="22"/>
          <w:szCs w:val="22"/>
        </w:rPr>
        <w:t xml:space="preserve"> KP, et al.: </w:t>
      </w:r>
      <w:proofErr w:type="spellStart"/>
      <w:r w:rsidRPr="001348E3">
        <w:rPr>
          <w:rFonts w:ascii="Calibri" w:hAnsi="Calibri" w:cs="Calibri"/>
          <w:sz w:val="22"/>
          <w:szCs w:val="22"/>
        </w:rPr>
        <w:t>Lyme</w:t>
      </w:r>
      <w:proofErr w:type="spellEnd"/>
      <w:r w:rsidRPr="001348E3">
        <w:rPr>
          <w:rFonts w:ascii="Calibri" w:hAnsi="Calibri" w:cs="Calibri"/>
          <w:sz w:val="22"/>
          <w:szCs w:val="22"/>
        </w:rPr>
        <w:t xml:space="preserve"> </w:t>
      </w:r>
      <w:proofErr w:type="spellStart"/>
      <w:r w:rsidRPr="001348E3">
        <w:rPr>
          <w:rFonts w:ascii="Calibri" w:hAnsi="Calibri" w:cs="Calibri"/>
          <w:sz w:val="22"/>
          <w:szCs w:val="22"/>
        </w:rPr>
        <w:t>borreliosis</w:t>
      </w:r>
      <w:proofErr w:type="spellEnd"/>
      <w:r w:rsidRPr="001348E3">
        <w:rPr>
          <w:rFonts w:ascii="Calibri" w:hAnsi="Calibri" w:cs="Calibri"/>
          <w:sz w:val="22"/>
          <w:szCs w:val="22"/>
        </w:rPr>
        <w:t xml:space="preserve"> </w:t>
      </w:r>
      <w:proofErr w:type="spellStart"/>
      <w:r w:rsidRPr="001348E3">
        <w:rPr>
          <w:rFonts w:ascii="Calibri" w:hAnsi="Calibri" w:cs="Calibri"/>
          <w:sz w:val="22"/>
          <w:szCs w:val="22"/>
        </w:rPr>
        <w:t>for</w:t>
      </w:r>
      <w:proofErr w:type="spellEnd"/>
      <w:r w:rsidRPr="001348E3">
        <w:rPr>
          <w:rFonts w:ascii="Calibri" w:hAnsi="Calibri" w:cs="Calibri"/>
          <w:sz w:val="22"/>
          <w:szCs w:val="22"/>
        </w:rPr>
        <w:t xml:space="preserve"> </w:t>
      </w:r>
      <w:proofErr w:type="spellStart"/>
      <w:r w:rsidRPr="001348E3">
        <w:rPr>
          <w:rFonts w:ascii="Calibri" w:hAnsi="Calibri" w:cs="Calibri"/>
          <w:sz w:val="22"/>
          <w:szCs w:val="22"/>
        </w:rPr>
        <w:t>diagnosis</w:t>
      </w:r>
      <w:proofErr w:type="spellEnd"/>
      <w:r w:rsidRPr="001348E3">
        <w:rPr>
          <w:rFonts w:ascii="Calibri" w:hAnsi="Calibri" w:cs="Calibri"/>
          <w:sz w:val="22"/>
          <w:szCs w:val="22"/>
        </w:rPr>
        <w:t xml:space="preserve"> and </w:t>
      </w:r>
      <w:proofErr w:type="spellStart"/>
      <w:r w:rsidRPr="001348E3">
        <w:rPr>
          <w:rFonts w:ascii="Calibri" w:hAnsi="Calibri" w:cs="Calibri"/>
          <w:sz w:val="22"/>
          <w:szCs w:val="22"/>
        </w:rPr>
        <w:t>management</w:t>
      </w:r>
      <w:proofErr w:type="spellEnd"/>
      <w:r w:rsidRPr="001348E3">
        <w:rPr>
          <w:rFonts w:ascii="Calibri" w:hAnsi="Calibri" w:cs="Calibri"/>
          <w:sz w:val="22"/>
          <w:szCs w:val="22"/>
        </w:rPr>
        <w:t xml:space="preserve"> in Europe (European Union </w:t>
      </w:r>
      <w:proofErr w:type="spellStart"/>
      <w:r w:rsidRPr="001348E3">
        <w:rPr>
          <w:rFonts w:ascii="Calibri" w:hAnsi="Calibri" w:cs="Calibri"/>
          <w:sz w:val="22"/>
          <w:szCs w:val="22"/>
        </w:rPr>
        <w:t>Concerted</w:t>
      </w:r>
      <w:proofErr w:type="spellEnd"/>
      <w:r w:rsidRPr="001348E3">
        <w:rPr>
          <w:rFonts w:ascii="Calibri" w:hAnsi="Calibri" w:cs="Calibri"/>
          <w:sz w:val="22"/>
          <w:szCs w:val="22"/>
        </w:rPr>
        <w:t xml:space="preserve"> Action on LB). </w:t>
      </w:r>
      <w:proofErr w:type="spellStart"/>
      <w:r w:rsidRPr="001348E3">
        <w:rPr>
          <w:rFonts w:ascii="Calibri" w:hAnsi="Calibri" w:cs="Calibri"/>
          <w:sz w:val="22"/>
          <w:szCs w:val="22"/>
        </w:rPr>
        <w:t>Clin</w:t>
      </w:r>
      <w:proofErr w:type="spellEnd"/>
      <w:r w:rsidRPr="001348E3">
        <w:rPr>
          <w:rFonts w:ascii="Calibri" w:hAnsi="Calibri" w:cs="Calibri"/>
          <w:sz w:val="22"/>
          <w:szCs w:val="22"/>
        </w:rPr>
        <w:t xml:space="preserve"> </w:t>
      </w:r>
      <w:proofErr w:type="spellStart"/>
      <w:r w:rsidRPr="001348E3">
        <w:rPr>
          <w:rFonts w:ascii="Calibri" w:hAnsi="Calibri" w:cs="Calibri"/>
          <w:sz w:val="22"/>
          <w:szCs w:val="22"/>
        </w:rPr>
        <w:t>Microbiol</w:t>
      </w:r>
      <w:proofErr w:type="spellEnd"/>
      <w:r w:rsidRPr="001348E3">
        <w:rPr>
          <w:rFonts w:ascii="Calibri" w:hAnsi="Calibri" w:cs="Calibri"/>
          <w:sz w:val="22"/>
          <w:szCs w:val="22"/>
        </w:rPr>
        <w:t xml:space="preserve"> </w:t>
      </w:r>
      <w:proofErr w:type="spellStart"/>
      <w:r w:rsidRPr="001348E3">
        <w:rPr>
          <w:rFonts w:ascii="Calibri" w:hAnsi="Calibri" w:cs="Calibri"/>
          <w:sz w:val="22"/>
          <w:szCs w:val="22"/>
        </w:rPr>
        <w:t>Infect</w:t>
      </w:r>
      <w:proofErr w:type="spellEnd"/>
      <w:r w:rsidRPr="001348E3">
        <w:rPr>
          <w:rFonts w:ascii="Calibri" w:hAnsi="Calibri" w:cs="Calibri"/>
          <w:sz w:val="22"/>
          <w:szCs w:val="22"/>
        </w:rPr>
        <w:t xml:space="preserve"> 2011; 17; 69-79</w:t>
      </w:r>
    </w:p>
    <w:p w:rsidR="00DC2738" w:rsidRPr="001348E3" w:rsidRDefault="00BA4B40" w:rsidP="00DC2738">
      <w:pPr>
        <w:suppressAutoHyphens w:val="0"/>
        <w:jc w:val="left"/>
        <w:rPr>
          <w:rFonts w:ascii="Calibri" w:hAnsi="Calibri" w:cs="Calibri"/>
          <w:kern w:val="0"/>
          <w:sz w:val="22"/>
          <w:szCs w:val="22"/>
          <w:lang w:eastAsia="de-DE"/>
        </w:rPr>
      </w:pPr>
      <w:r w:rsidRPr="001348E3">
        <w:rPr>
          <w:rFonts w:ascii="Calibri" w:hAnsi="Calibri" w:cs="Calibri"/>
          <w:sz w:val="22"/>
          <w:szCs w:val="22"/>
        </w:rPr>
        <w:t>9</w:t>
      </w:r>
      <w:r w:rsidR="00DC2738" w:rsidRPr="001348E3">
        <w:rPr>
          <w:rFonts w:ascii="Calibri" w:hAnsi="Calibri" w:cs="Calibri"/>
          <w:sz w:val="22"/>
          <w:szCs w:val="22"/>
        </w:rPr>
        <w:t xml:space="preserve">. Alvarez </w:t>
      </w:r>
      <w:proofErr w:type="spellStart"/>
      <w:r w:rsidR="00DC2738" w:rsidRPr="001348E3">
        <w:rPr>
          <w:rFonts w:ascii="Calibri" w:hAnsi="Calibri" w:cs="Calibri"/>
          <w:sz w:val="22"/>
          <w:szCs w:val="22"/>
        </w:rPr>
        <w:t>Casano</w:t>
      </w:r>
      <w:proofErr w:type="spellEnd"/>
      <w:r w:rsidR="00DC2738" w:rsidRPr="001348E3">
        <w:rPr>
          <w:rFonts w:ascii="Calibri" w:hAnsi="Calibri" w:cs="Calibri"/>
          <w:sz w:val="22"/>
          <w:szCs w:val="22"/>
        </w:rPr>
        <w:t xml:space="preserve"> M, Lopez </w:t>
      </w:r>
      <w:proofErr w:type="spellStart"/>
      <w:r w:rsidR="00DC2738" w:rsidRPr="001348E3">
        <w:rPr>
          <w:rFonts w:ascii="Calibri" w:hAnsi="Calibri" w:cs="Calibri"/>
          <w:sz w:val="22"/>
          <w:szCs w:val="22"/>
        </w:rPr>
        <w:t>Siguero</w:t>
      </w:r>
      <w:proofErr w:type="spellEnd"/>
      <w:r w:rsidR="00DC2738" w:rsidRPr="001348E3">
        <w:rPr>
          <w:rFonts w:ascii="Calibri" w:hAnsi="Calibri" w:cs="Calibri"/>
          <w:sz w:val="22"/>
          <w:szCs w:val="22"/>
        </w:rPr>
        <w:t xml:space="preserve"> JP. Review </w:t>
      </w:r>
      <w:proofErr w:type="spellStart"/>
      <w:r w:rsidR="00DC2738" w:rsidRPr="001348E3">
        <w:rPr>
          <w:rFonts w:ascii="Calibri" w:hAnsi="Calibri" w:cs="Calibri"/>
          <w:sz w:val="22"/>
          <w:szCs w:val="22"/>
        </w:rPr>
        <w:t>of</w:t>
      </w:r>
      <w:proofErr w:type="spellEnd"/>
      <w:r w:rsidR="00DC2738" w:rsidRPr="001348E3">
        <w:rPr>
          <w:rFonts w:ascii="Calibri" w:hAnsi="Calibri" w:cs="Calibri"/>
          <w:sz w:val="22"/>
          <w:szCs w:val="22"/>
        </w:rPr>
        <w:t xml:space="preserve"> </w:t>
      </w:r>
      <w:proofErr w:type="spellStart"/>
      <w:r w:rsidR="00DC2738" w:rsidRPr="001348E3">
        <w:rPr>
          <w:rFonts w:ascii="Calibri" w:hAnsi="Calibri" w:cs="Calibri"/>
          <w:sz w:val="22"/>
          <w:szCs w:val="22"/>
        </w:rPr>
        <w:t>the</w:t>
      </w:r>
      <w:proofErr w:type="spellEnd"/>
      <w:r w:rsidR="00DC2738" w:rsidRPr="001348E3">
        <w:rPr>
          <w:rFonts w:ascii="Calibri" w:hAnsi="Calibri" w:cs="Calibri"/>
          <w:sz w:val="22"/>
          <w:szCs w:val="22"/>
        </w:rPr>
        <w:t xml:space="preserve"> </w:t>
      </w:r>
      <w:proofErr w:type="spellStart"/>
      <w:r w:rsidR="00DC2738" w:rsidRPr="001348E3">
        <w:rPr>
          <w:rFonts w:ascii="Calibri" w:hAnsi="Calibri" w:cs="Calibri"/>
          <w:sz w:val="22"/>
          <w:szCs w:val="22"/>
        </w:rPr>
        <w:t>natural</w:t>
      </w:r>
      <w:proofErr w:type="spellEnd"/>
      <w:r w:rsidR="00DC2738" w:rsidRPr="001348E3">
        <w:rPr>
          <w:rFonts w:ascii="Calibri" w:hAnsi="Calibri" w:cs="Calibri"/>
          <w:sz w:val="22"/>
          <w:szCs w:val="22"/>
        </w:rPr>
        <w:t xml:space="preserve"> </w:t>
      </w:r>
      <w:proofErr w:type="spellStart"/>
      <w:r w:rsidR="00DC2738" w:rsidRPr="001348E3">
        <w:rPr>
          <w:rFonts w:ascii="Calibri" w:hAnsi="Calibri" w:cs="Calibri"/>
          <w:sz w:val="22"/>
          <w:szCs w:val="22"/>
        </w:rPr>
        <w:t>course</w:t>
      </w:r>
      <w:proofErr w:type="spellEnd"/>
      <w:r w:rsidR="00DC2738" w:rsidRPr="001348E3">
        <w:rPr>
          <w:rFonts w:ascii="Calibri" w:hAnsi="Calibri" w:cs="Calibri"/>
          <w:sz w:val="22"/>
          <w:szCs w:val="22"/>
        </w:rPr>
        <w:t xml:space="preserve"> </w:t>
      </w:r>
      <w:proofErr w:type="spellStart"/>
      <w:r w:rsidR="00DC2738" w:rsidRPr="001348E3">
        <w:rPr>
          <w:rFonts w:ascii="Calibri" w:hAnsi="Calibri" w:cs="Calibri"/>
          <w:sz w:val="22"/>
          <w:szCs w:val="22"/>
        </w:rPr>
        <w:t>of</w:t>
      </w:r>
      <w:proofErr w:type="spellEnd"/>
      <w:r w:rsidR="00DC2738" w:rsidRPr="001348E3">
        <w:rPr>
          <w:rFonts w:ascii="Calibri" w:hAnsi="Calibri" w:cs="Calibri"/>
          <w:sz w:val="22"/>
          <w:szCs w:val="22"/>
        </w:rPr>
        <w:t xml:space="preserve"> </w:t>
      </w:r>
      <w:proofErr w:type="spellStart"/>
      <w:r w:rsidR="00DC2738" w:rsidRPr="001348E3">
        <w:rPr>
          <w:rFonts w:ascii="Calibri" w:hAnsi="Calibri" w:cs="Calibri"/>
          <w:sz w:val="22"/>
          <w:szCs w:val="22"/>
        </w:rPr>
        <w:t>subclinical</w:t>
      </w:r>
      <w:proofErr w:type="spellEnd"/>
      <w:r w:rsidR="00DC2738" w:rsidRPr="001348E3">
        <w:rPr>
          <w:rFonts w:ascii="Calibri" w:hAnsi="Calibri" w:cs="Calibri"/>
          <w:sz w:val="22"/>
          <w:szCs w:val="22"/>
        </w:rPr>
        <w:t xml:space="preserve"> </w:t>
      </w:r>
      <w:proofErr w:type="spellStart"/>
      <w:r w:rsidR="00DC2738" w:rsidRPr="001348E3">
        <w:rPr>
          <w:rFonts w:ascii="Calibri" w:hAnsi="Calibri" w:cs="Calibri"/>
          <w:sz w:val="22"/>
          <w:szCs w:val="22"/>
        </w:rPr>
        <w:t>hypothyroidism</w:t>
      </w:r>
      <w:proofErr w:type="spellEnd"/>
      <w:r w:rsidR="00DC2738" w:rsidRPr="001348E3">
        <w:rPr>
          <w:rFonts w:ascii="Calibri" w:hAnsi="Calibri" w:cs="Calibri"/>
          <w:sz w:val="22"/>
          <w:szCs w:val="22"/>
        </w:rPr>
        <w:t xml:space="preserve"> and </w:t>
      </w:r>
      <w:proofErr w:type="spellStart"/>
      <w:r w:rsidR="00DC2738" w:rsidRPr="001348E3">
        <w:rPr>
          <w:rFonts w:ascii="Calibri" w:hAnsi="Calibri" w:cs="Calibri"/>
          <w:sz w:val="22"/>
          <w:szCs w:val="22"/>
        </w:rPr>
        <w:t>study</w:t>
      </w:r>
      <w:proofErr w:type="spellEnd"/>
      <w:r w:rsidR="00DC2738" w:rsidRPr="001348E3">
        <w:rPr>
          <w:rFonts w:ascii="Calibri" w:hAnsi="Calibri" w:cs="Calibri"/>
          <w:sz w:val="22"/>
          <w:szCs w:val="22"/>
        </w:rPr>
        <w:t xml:space="preserve"> </w:t>
      </w:r>
      <w:proofErr w:type="spellStart"/>
      <w:r w:rsidR="00DC2738" w:rsidRPr="001348E3">
        <w:rPr>
          <w:rFonts w:ascii="Calibri" w:hAnsi="Calibri" w:cs="Calibri"/>
          <w:sz w:val="22"/>
          <w:szCs w:val="22"/>
        </w:rPr>
        <w:t>of</w:t>
      </w:r>
      <w:proofErr w:type="spellEnd"/>
      <w:r w:rsidR="00DC2738" w:rsidRPr="001348E3">
        <w:rPr>
          <w:rFonts w:ascii="Calibri" w:hAnsi="Calibri" w:cs="Calibri"/>
          <w:sz w:val="22"/>
          <w:szCs w:val="22"/>
        </w:rPr>
        <w:t xml:space="preserve"> </w:t>
      </w:r>
      <w:proofErr w:type="spellStart"/>
      <w:r w:rsidR="00DC2738" w:rsidRPr="001348E3">
        <w:rPr>
          <w:rFonts w:ascii="Calibri" w:hAnsi="Calibri" w:cs="Calibri"/>
          <w:sz w:val="22"/>
          <w:szCs w:val="22"/>
        </w:rPr>
        <w:t>its</w:t>
      </w:r>
      <w:proofErr w:type="spellEnd"/>
      <w:r w:rsidR="00DC2738" w:rsidRPr="001348E3">
        <w:rPr>
          <w:rFonts w:ascii="Calibri" w:hAnsi="Calibri" w:cs="Calibri"/>
          <w:sz w:val="22"/>
          <w:szCs w:val="22"/>
        </w:rPr>
        <w:t xml:space="preserve"> </w:t>
      </w:r>
      <w:proofErr w:type="spellStart"/>
      <w:r w:rsidR="00DC2738" w:rsidRPr="001348E3">
        <w:rPr>
          <w:rFonts w:ascii="Calibri" w:hAnsi="Calibri" w:cs="Calibri"/>
          <w:sz w:val="22"/>
          <w:szCs w:val="22"/>
        </w:rPr>
        <w:t>costs</w:t>
      </w:r>
      <w:proofErr w:type="spellEnd"/>
      <w:r w:rsidR="00DC2738" w:rsidRPr="001348E3">
        <w:rPr>
          <w:rFonts w:ascii="Calibri" w:hAnsi="Calibri" w:cs="Calibri"/>
          <w:sz w:val="22"/>
          <w:szCs w:val="22"/>
        </w:rPr>
        <w:t xml:space="preserve">. </w:t>
      </w:r>
      <w:proofErr w:type="spellStart"/>
      <w:r w:rsidR="00DC2738" w:rsidRPr="001348E3">
        <w:rPr>
          <w:rFonts w:ascii="Calibri" w:hAnsi="Calibri" w:cs="Calibri"/>
          <w:sz w:val="22"/>
          <w:szCs w:val="22"/>
        </w:rPr>
        <w:t>Endocrinol</w:t>
      </w:r>
      <w:proofErr w:type="spellEnd"/>
      <w:r w:rsidR="00DC2738" w:rsidRPr="001348E3">
        <w:rPr>
          <w:rFonts w:ascii="Calibri" w:hAnsi="Calibri" w:cs="Calibri"/>
          <w:sz w:val="22"/>
          <w:szCs w:val="22"/>
        </w:rPr>
        <w:t xml:space="preserve"> Diabetes </w:t>
      </w:r>
      <w:proofErr w:type="spellStart"/>
      <w:r w:rsidR="00DC2738" w:rsidRPr="001348E3">
        <w:rPr>
          <w:rFonts w:ascii="Calibri" w:hAnsi="Calibri" w:cs="Calibri"/>
          <w:sz w:val="22"/>
          <w:szCs w:val="22"/>
        </w:rPr>
        <w:t>Nutr</w:t>
      </w:r>
      <w:proofErr w:type="spellEnd"/>
      <w:r w:rsidR="00DC2738" w:rsidRPr="001348E3">
        <w:rPr>
          <w:rFonts w:ascii="Calibri" w:hAnsi="Calibri" w:cs="Calibri"/>
          <w:sz w:val="22"/>
          <w:szCs w:val="22"/>
        </w:rPr>
        <w:t>. 2019;66(9):550-554</w:t>
      </w:r>
      <w:r w:rsidR="00DC2738" w:rsidRPr="001348E3">
        <w:rPr>
          <w:rFonts w:ascii="Calibri" w:hAnsi="Calibri" w:cs="Calibri"/>
          <w:kern w:val="0"/>
          <w:sz w:val="22"/>
          <w:szCs w:val="22"/>
          <w:lang w:eastAsia="de-DE"/>
        </w:rPr>
        <w:t xml:space="preserve">Alvarez </w:t>
      </w:r>
      <w:proofErr w:type="spellStart"/>
      <w:r w:rsidR="00DC2738" w:rsidRPr="001348E3">
        <w:rPr>
          <w:rFonts w:ascii="Calibri" w:hAnsi="Calibri" w:cs="Calibri"/>
          <w:kern w:val="0"/>
          <w:sz w:val="22"/>
          <w:szCs w:val="22"/>
          <w:lang w:eastAsia="de-DE"/>
        </w:rPr>
        <w:t>Casano</w:t>
      </w:r>
      <w:proofErr w:type="spellEnd"/>
      <w:r w:rsidR="00DC2738" w:rsidRPr="001348E3">
        <w:rPr>
          <w:rFonts w:ascii="Calibri" w:hAnsi="Calibri" w:cs="Calibri"/>
          <w:kern w:val="0"/>
          <w:sz w:val="22"/>
          <w:szCs w:val="22"/>
          <w:lang w:eastAsia="de-DE"/>
        </w:rPr>
        <w:t xml:space="preserve"> M, Lopez </w:t>
      </w:r>
      <w:proofErr w:type="spellStart"/>
      <w:r w:rsidR="00DC2738" w:rsidRPr="001348E3">
        <w:rPr>
          <w:rFonts w:ascii="Calibri" w:hAnsi="Calibri" w:cs="Calibri"/>
          <w:kern w:val="0"/>
          <w:sz w:val="22"/>
          <w:szCs w:val="22"/>
          <w:lang w:eastAsia="de-DE"/>
        </w:rPr>
        <w:t>Siguero</w:t>
      </w:r>
      <w:proofErr w:type="spellEnd"/>
      <w:r w:rsidR="00DC2738" w:rsidRPr="001348E3">
        <w:rPr>
          <w:rFonts w:ascii="Calibri" w:hAnsi="Calibri" w:cs="Calibri"/>
          <w:kern w:val="0"/>
          <w:sz w:val="22"/>
          <w:szCs w:val="22"/>
          <w:lang w:eastAsia="de-DE"/>
        </w:rPr>
        <w:t xml:space="preserve"> JP. Review </w:t>
      </w:r>
      <w:proofErr w:type="spellStart"/>
      <w:r w:rsidR="00DC2738" w:rsidRPr="001348E3">
        <w:rPr>
          <w:rFonts w:ascii="Calibri" w:hAnsi="Calibri" w:cs="Calibri"/>
          <w:kern w:val="0"/>
          <w:sz w:val="22"/>
          <w:szCs w:val="22"/>
          <w:lang w:eastAsia="de-DE"/>
        </w:rPr>
        <w:t>of</w:t>
      </w:r>
      <w:proofErr w:type="spellEnd"/>
      <w:r w:rsidR="00DC2738" w:rsidRPr="001348E3">
        <w:rPr>
          <w:rFonts w:ascii="Calibri" w:hAnsi="Calibri" w:cs="Calibri"/>
          <w:kern w:val="0"/>
          <w:sz w:val="22"/>
          <w:szCs w:val="22"/>
          <w:lang w:eastAsia="de-DE"/>
        </w:rPr>
        <w:t xml:space="preserve"> </w:t>
      </w:r>
      <w:proofErr w:type="spellStart"/>
      <w:r w:rsidR="00DC2738" w:rsidRPr="001348E3">
        <w:rPr>
          <w:rFonts w:ascii="Calibri" w:hAnsi="Calibri" w:cs="Calibri"/>
          <w:kern w:val="0"/>
          <w:sz w:val="22"/>
          <w:szCs w:val="22"/>
          <w:lang w:eastAsia="de-DE"/>
        </w:rPr>
        <w:t>the</w:t>
      </w:r>
      <w:proofErr w:type="spellEnd"/>
      <w:r w:rsidR="00DC2738" w:rsidRPr="001348E3">
        <w:rPr>
          <w:rFonts w:ascii="Calibri" w:hAnsi="Calibri" w:cs="Calibri"/>
          <w:kern w:val="0"/>
          <w:sz w:val="22"/>
          <w:szCs w:val="22"/>
          <w:lang w:eastAsia="de-DE"/>
        </w:rPr>
        <w:t xml:space="preserve"> </w:t>
      </w:r>
      <w:proofErr w:type="spellStart"/>
      <w:r w:rsidR="00DC2738" w:rsidRPr="001348E3">
        <w:rPr>
          <w:rFonts w:ascii="Calibri" w:hAnsi="Calibri" w:cs="Calibri"/>
          <w:kern w:val="0"/>
          <w:sz w:val="22"/>
          <w:szCs w:val="22"/>
          <w:lang w:eastAsia="de-DE"/>
        </w:rPr>
        <w:t>natural</w:t>
      </w:r>
      <w:proofErr w:type="spellEnd"/>
      <w:r w:rsidR="00DC2738" w:rsidRPr="001348E3">
        <w:rPr>
          <w:rFonts w:ascii="Calibri" w:hAnsi="Calibri" w:cs="Calibri"/>
          <w:kern w:val="0"/>
          <w:sz w:val="22"/>
          <w:szCs w:val="22"/>
          <w:lang w:eastAsia="de-DE"/>
        </w:rPr>
        <w:t xml:space="preserve"> </w:t>
      </w:r>
      <w:proofErr w:type="spellStart"/>
      <w:r w:rsidR="00DC2738" w:rsidRPr="001348E3">
        <w:rPr>
          <w:rFonts w:ascii="Calibri" w:hAnsi="Calibri" w:cs="Calibri"/>
          <w:kern w:val="0"/>
          <w:sz w:val="22"/>
          <w:szCs w:val="22"/>
          <w:lang w:eastAsia="de-DE"/>
        </w:rPr>
        <w:t>course</w:t>
      </w:r>
      <w:proofErr w:type="spellEnd"/>
      <w:r w:rsidR="00DC2738" w:rsidRPr="001348E3">
        <w:rPr>
          <w:rFonts w:ascii="Calibri" w:hAnsi="Calibri" w:cs="Calibri"/>
          <w:kern w:val="0"/>
          <w:sz w:val="22"/>
          <w:szCs w:val="22"/>
          <w:lang w:eastAsia="de-DE"/>
        </w:rPr>
        <w:t xml:space="preserve"> </w:t>
      </w:r>
      <w:proofErr w:type="spellStart"/>
      <w:r w:rsidR="00DC2738" w:rsidRPr="001348E3">
        <w:rPr>
          <w:rFonts w:ascii="Calibri" w:hAnsi="Calibri" w:cs="Calibri"/>
          <w:kern w:val="0"/>
          <w:sz w:val="22"/>
          <w:szCs w:val="22"/>
          <w:lang w:eastAsia="de-DE"/>
        </w:rPr>
        <w:t>of</w:t>
      </w:r>
      <w:proofErr w:type="spellEnd"/>
      <w:r w:rsidR="00DC2738" w:rsidRPr="001348E3">
        <w:rPr>
          <w:rFonts w:ascii="Calibri" w:hAnsi="Calibri" w:cs="Calibri"/>
          <w:kern w:val="0"/>
          <w:sz w:val="22"/>
          <w:szCs w:val="22"/>
          <w:lang w:eastAsia="de-DE"/>
        </w:rPr>
        <w:t xml:space="preserve"> </w:t>
      </w:r>
      <w:proofErr w:type="spellStart"/>
      <w:r w:rsidR="00DC2738" w:rsidRPr="001348E3">
        <w:rPr>
          <w:rFonts w:ascii="Calibri" w:hAnsi="Calibri" w:cs="Calibri"/>
          <w:kern w:val="0"/>
          <w:sz w:val="22"/>
          <w:szCs w:val="22"/>
          <w:lang w:eastAsia="de-DE"/>
        </w:rPr>
        <w:t>subclinical</w:t>
      </w:r>
      <w:proofErr w:type="spellEnd"/>
      <w:r w:rsidR="00DC2738" w:rsidRPr="001348E3">
        <w:rPr>
          <w:rFonts w:ascii="Calibri" w:hAnsi="Calibri" w:cs="Calibri"/>
          <w:kern w:val="0"/>
          <w:sz w:val="22"/>
          <w:szCs w:val="22"/>
          <w:lang w:eastAsia="de-DE"/>
        </w:rPr>
        <w:t xml:space="preserve"> </w:t>
      </w:r>
      <w:proofErr w:type="spellStart"/>
      <w:r w:rsidR="00DC2738" w:rsidRPr="001348E3">
        <w:rPr>
          <w:rFonts w:ascii="Calibri" w:hAnsi="Calibri" w:cs="Calibri"/>
          <w:kern w:val="0"/>
          <w:sz w:val="22"/>
          <w:szCs w:val="22"/>
          <w:lang w:eastAsia="de-DE"/>
        </w:rPr>
        <w:t>hypothyroidism</w:t>
      </w:r>
      <w:proofErr w:type="spellEnd"/>
      <w:r w:rsidR="00DC2738" w:rsidRPr="001348E3">
        <w:rPr>
          <w:rFonts w:ascii="Calibri" w:hAnsi="Calibri" w:cs="Calibri"/>
          <w:kern w:val="0"/>
          <w:sz w:val="22"/>
          <w:szCs w:val="22"/>
          <w:lang w:eastAsia="de-DE"/>
        </w:rPr>
        <w:t xml:space="preserve"> and </w:t>
      </w:r>
      <w:proofErr w:type="spellStart"/>
      <w:r w:rsidR="00DC2738" w:rsidRPr="001348E3">
        <w:rPr>
          <w:rFonts w:ascii="Calibri" w:hAnsi="Calibri" w:cs="Calibri"/>
          <w:kern w:val="0"/>
          <w:sz w:val="22"/>
          <w:szCs w:val="22"/>
          <w:lang w:eastAsia="de-DE"/>
        </w:rPr>
        <w:t>study</w:t>
      </w:r>
      <w:proofErr w:type="spellEnd"/>
      <w:r w:rsidR="00DC2738" w:rsidRPr="001348E3">
        <w:rPr>
          <w:rFonts w:ascii="Calibri" w:hAnsi="Calibri" w:cs="Calibri"/>
          <w:kern w:val="0"/>
          <w:sz w:val="22"/>
          <w:szCs w:val="22"/>
          <w:lang w:eastAsia="de-DE"/>
        </w:rPr>
        <w:t xml:space="preserve"> </w:t>
      </w:r>
      <w:proofErr w:type="spellStart"/>
      <w:r w:rsidR="00DC2738" w:rsidRPr="001348E3">
        <w:rPr>
          <w:rFonts w:ascii="Calibri" w:hAnsi="Calibri" w:cs="Calibri"/>
          <w:kern w:val="0"/>
          <w:sz w:val="22"/>
          <w:szCs w:val="22"/>
          <w:lang w:eastAsia="de-DE"/>
        </w:rPr>
        <w:t>of</w:t>
      </w:r>
      <w:proofErr w:type="spellEnd"/>
      <w:r w:rsidR="00DC2738" w:rsidRPr="001348E3">
        <w:rPr>
          <w:rFonts w:ascii="Calibri" w:hAnsi="Calibri" w:cs="Calibri"/>
          <w:kern w:val="0"/>
          <w:sz w:val="22"/>
          <w:szCs w:val="22"/>
          <w:lang w:eastAsia="de-DE"/>
        </w:rPr>
        <w:t xml:space="preserve"> </w:t>
      </w:r>
      <w:proofErr w:type="spellStart"/>
      <w:r w:rsidR="00DC2738" w:rsidRPr="001348E3">
        <w:rPr>
          <w:rFonts w:ascii="Calibri" w:hAnsi="Calibri" w:cs="Calibri"/>
          <w:kern w:val="0"/>
          <w:sz w:val="22"/>
          <w:szCs w:val="22"/>
          <w:lang w:eastAsia="de-DE"/>
        </w:rPr>
        <w:t>its</w:t>
      </w:r>
      <w:proofErr w:type="spellEnd"/>
      <w:r w:rsidR="00DC2738" w:rsidRPr="001348E3">
        <w:rPr>
          <w:rFonts w:ascii="Calibri" w:hAnsi="Calibri" w:cs="Calibri"/>
          <w:kern w:val="0"/>
          <w:sz w:val="22"/>
          <w:szCs w:val="22"/>
          <w:lang w:eastAsia="de-DE"/>
        </w:rPr>
        <w:t xml:space="preserve"> </w:t>
      </w:r>
      <w:proofErr w:type="spellStart"/>
      <w:r w:rsidR="00DC2738" w:rsidRPr="001348E3">
        <w:rPr>
          <w:rFonts w:ascii="Calibri" w:hAnsi="Calibri" w:cs="Calibri"/>
          <w:kern w:val="0"/>
          <w:sz w:val="22"/>
          <w:szCs w:val="22"/>
          <w:lang w:eastAsia="de-DE"/>
        </w:rPr>
        <w:t>costs</w:t>
      </w:r>
      <w:proofErr w:type="spellEnd"/>
      <w:r w:rsidR="00DC2738" w:rsidRPr="001348E3">
        <w:rPr>
          <w:rFonts w:ascii="Calibri" w:hAnsi="Calibri" w:cs="Calibri"/>
          <w:kern w:val="0"/>
          <w:sz w:val="22"/>
          <w:szCs w:val="22"/>
          <w:lang w:eastAsia="de-DE"/>
        </w:rPr>
        <w:t xml:space="preserve">. </w:t>
      </w:r>
      <w:proofErr w:type="spellStart"/>
      <w:r w:rsidR="00DC2738" w:rsidRPr="001348E3">
        <w:rPr>
          <w:rFonts w:ascii="Calibri" w:hAnsi="Calibri" w:cs="Calibri"/>
          <w:kern w:val="0"/>
          <w:sz w:val="22"/>
          <w:szCs w:val="22"/>
          <w:lang w:eastAsia="de-DE"/>
        </w:rPr>
        <w:t>Endocrinol</w:t>
      </w:r>
      <w:proofErr w:type="spellEnd"/>
      <w:r w:rsidR="00DC2738" w:rsidRPr="001348E3">
        <w:rPr>
          <w:rFonts w:ascii="Calibri" w:hAnsi="Calibri" w:cs="Calibri"/>
          <w:kern w:val="0"/>
          <w:sz w:val="22"/>
          <w:szCs w:val="22"/>
          <w:lang w:eastAsia="de-DE"/>
        </w:rPr>
        <w:t xml:space="preserve"> Diabetes </w:t>
      </w:r>
      <w:proofErr w:type="spellStart"/>
      <w:r w:rsidR="00DC2738" w:rsidRPr="001348E3">
        <w:rPr>
          <w:rFonts w:ascii="Calibri" w:hAnsi="Calibri" w:cs="Calibri"/>
          <w:kern w:val="0"/>
          <w:sz w:val="22"/>
          <w:szCs w:val="22"/>
          <w:lang w:eastAsia="de-DE"/>
        </w:rPr>
        <w:t>Nutr</w:t>
      </w:r>
      <w:proofErr w:type="spellEnd"/>
      <w:r w:rsidR="00DC2738" w:rsidRPr="001348E3">
        <w:rPr>
          <w:rFonts w:ascii="Calibri" w:hAnsi="Calibri" w:cs="Calibri"/>
          <w:kern w:val="0"/>
          <w:sz w:val="22"/>
          <w:szCs w:val="22"/>
          <w:lang w:eastAsia="de-DE"/>
        </w:rPr>
        <w:t>. 2019;66(9):550-554</w:t>
      </w:r>
    </w:p>
    <w:p w:rsidR="00DC2738" w:rsidRPr="001348E3" w:rsidRDefault="00BA4B40" w:rsidP="00DC2738">
      <w:pPr>
        <w:suppressAutoHyphens w:val="0"/>
        <w:jc w:val="left"/>
        <w:rPr>
          <w:rFonts w:ascii="Calibri" w:hAnsi="Calibri" w:cs="Calibri"/>
          <w:kern w:val="0"/>
          <w:sz w:val="22"/>
          <w:szCs w:val="22"/>
          <w:lang w:eastAsia="de-DE"/>
        </w:rPr>
      </w:pPr>
      <w:r w:rsidRPr="001348E3">
        <w:rPr>
          <w:rFonts w:ascii="Calibri" w:hAnsi="Calibri" w:cs="Calibri"/>
          <w:kern w:val="0"/>
          <w:sz w:val="22"/>
          <w:szCs w:val="22"/>
          <w:lang w:eastAsia="de-DE"/>
        </w:rPr>
        <w:t>10</w:t>
      </w:r>
      <w:r w:rsidR="00DC2738" w:rsidRPr="001348E3">
        <w:rPr>
          <w:rFonts w:ascii="Calibri" w:hAnsi="Calibri" w:cs="Calibri"/>
          <w:kern w:val="0"/>
          <w:sz w:val="22"/>
          <w:szCs w:val="22"/>
          <w:lang w:eastAsia="de-DE"/>
        </w:rPr>
        <w:t xml:space="preserve">. </w:t>
      </w:r>
      <w:proofErr w:type="spellStart"/>
      <w:r w:rsidR="00DC2738" w:rsidRPr="001348E3">
        <w:rPr>
          <w:rFonts w:ascii="Calibri" w:hAnsi="Calibri" w:cs="Calibri"/>
          <w:kern w:val="0"/>
          <w:sz w:val="22"/>
          <w:szCs w:val="22"/>
          <w:lang w:eastAsia="de-DE"/>
        </w:rPr>
        <w:t>Gawkrodger</w:t>
      </w:r>
      <w:proofErr w:type="spellEnd"/>
      <w:r w:rsidR="00DC2738" w:rsidRPr="001348E3">
        <w:rPr>
          <w:rFonts w:ascii="Calibri" w:hAnsi="Calibri" w:cs="Calibri"/>
          <w:kern w:val="0"/>
          <w:sz w:val="22"/>
          <w:szCs w:val="22"/>
          <w:lang w:eastAsia="de-DE"/>
        </w:rPr>
        <w:t xml:space="preserve"> DJ, </w:t>
      </w:r>
      <w:proofErr w:type="spellStart"/>
      <w:r w:rsidR="00DC2738" w:rsidRPr="001348E3">
        <w:rPr>
          <w:rFonts w:ascii="Calibri" w:hAnsi="Calibri" w:cs="Calibri"/>
          <w:kern w:val="0"/>
          <w:sz w:val="22"/>
          <w:szCs w:val="22"/>
          <w:lang w:eastAsia="de-DE"/>
        </w:rPr>
        <w:t>Ormerod</w:t>
      </w:r>
      <w:proofErr w:type="spellEnd"/>
      <w:r w:rsidR="00DC2738" w:rsidRPr="001348E3">
        <w:rPr>
          <w:rFonts w:ascii="Calibri" w:hAnsi="Calibri" w:cs="Calibri"/>
          <w:kern w:val="0"/>
          <w:sz w:val="22"/>
          <w:szCs w:val="22"/>
          <w:lang w:eastAsia="de-DE"/>
        </w:rPr>
        <w:t xml:space="preserve"> AD, Shaw L, et al. Guideline </w:t>
      </w:r>
      <w:proofErr w:type="spellStart"/>
      <w:r w:rsidR="00DC2738" w:rsidRPr="001348E3">
        <w:rPr>
          <w:rFonts w:ascii="Calibri" w:hAnsi="Calibri" w:cs="Calibri"/>
          <w:kern w:val="0"/>
          <w:sz w:val="22"/>
          <w:szCs w:val="22"/>
          <w:lang w:eastAsia="de-DE"/>
        </w:rPr>
        <w:t>for</w:t>
      </w:r>
      <w:proofErr w:type="spellEnd"/>
      <w:r w:rsidR="00DC2738" w:rsidRPr="001348E3">
        <w:rPr>
          <w:rFonts w:ascii="Calibri" w:hAnsi="Calibri" w:cs="Calibri"/>
          <w:kern w:val="0"/>
          <w:sz w:val="22"/>
          <w:szCs w:val="22"/>
          <w:lang w:eastAsia="de-DE"/>
        </w:rPr>
        <w:t xml:space="preserve"> </w:t>
      </w:r>
      <w:proofErr w:type="spellStart"/>
      <w:r w:rsidR="00DC2738" w:rsidRPr="001348E3">
        <w:rPr>
          <w:rFonts w:ascii="Calibri" w:hAnsi="Calibri" w:cs="Calibri"/>
          <w:kern w:val="0"/>
          <w:sz w:val="22"/>
          <w:szCs w:val="22"/>
          <w:lang w:eastAsia="de-DE"/>
        </w:rPr>
        <w:t>the</w:t>
      </w:r>
      <w:proofErr w:type="spellEnd"/>
      <w:r w:rsidR="00DC2738" w:rsidRPr="001348E3">
        <w:rPr>
          <w:rFonts w:ascii="Calibri" w:hAnsi="Calibri" w:cs="Calibri"/>
          <w:kern w:val="0"/>
          <w:sz w:val="22"/>
          <w:szCs w:val="22"/>
          <w:lang w:eastAsia="de-DE"/>
        </w:rPr>
        <w:t xml:space="preserve"> </w:t>
      </w:r>
      <w:proofErr w:type="spellStart"/>
      <w:r w:rsidR="00DC2738" w:rsidRPr="001348E3">
        <w:rPr>
          <w:rFonts w:ascii="Calibri" w:hAnsi="Calibri" w:cs="Calibri"/>
          <w:kern w:val="0"/>
          <w:sz w:val="22"/>
          <w:szCs w:val="22"/>
          <w:lang w:eastAsia="de-DE"/>
        </w:rPr>
        <w:t>diagnosis</w:t>
      </w:r>
      <w:proofErr w:type="spellEnd"/>
      <w:r w:rsidR="00DC2738" w:rsidRPr="001348E3">
        <w:rPr>
          <w:rFonts w:ascii="Calibri" w:hAnsi="Calibri" w:cs="Calibri"/>
          <w:kern w:val="0"/>
          <w:sz w:val="22"/>
          <w:szCs w:val="22"/>
          <w:lang w:eastAsia="de-DE"/>
        </w:rPr>
        <w:t xml:space="preserve"> and </w:t>
      </w:r>
      <w:proofErr w:type="spellStart"/>
      <w:r w:rsidR="00DC2738" w:rsidRPr="001348E3">
        <w:rPr>
          <w:rFonts w:ascii="Calibri" w:hAnsi="Calibri" w:cs="Calibri"/>
          <w:kern w:val="0"/>
          <w:sz w:val="22"/>
          <w:szCs w:val="22"/>
          <w:lang w:eastAsia="de-DE"/>
        </w:rPr>
        <w:t>management</w:t>
      </w:r>
      <w:proofErr w:type="spellEnd"/>
      <w:r w:rsidR="00DC2738" w:rsidRPr="001348E3">
        <w:rPr>
          <w:rFonts w:ascii="Calibri" w:hAnsi="Calibri" w:cs="Calibri"/>
          <w:kern w:val="0"/>
          <w:sz w:val="22"/>
          <w:szCs w:val="22"/>
          <w:lang w:eastAsia="de-DE"/>
        </w:rPr>
        <w:t xml:space="preserve"> </w:t>
      </w:r>
      <w:proofErr w:type="spellStart"/>
      <w:r w:rsidR="00DC2738" w:rsidRPr="001348E3">
        <w:rPr>
          <w:rFonts w:ascii="Calibri" w:hAnsi="Calibri" w:cs="Calibri"/>
          <w:kern w:val="0"/>
          <w:sz w:val="22"/>
          <w:szCs w:val="22"/>
          <w:lang w:eastAsia="de-DE"/>
        </w:rPr>
        <w:t>of</w:t>
      </w:r>
      <w:proofErr w:type="spellEnd"/>
      <w:r w:rsidR="00DC2738" w:rsidRPr="001348E3">
        <w:rPr>
          <w:rFonts w:ascii="Calibri" w:hAnsi="Calibri" w:cs="Calibri"/>
          <w:kern w:val="0"/>
          <w:sz w:val="22"/>
          <w:szCs w:val="22"/>
          <w:lang w:eastAsia="de-DE"/>
        </w:rPr>
        <w:t xml:space="preserve"> </w:t>
      </w:r>
      <w:proofErr w:type="spellStart"/>
      <w:r w:rsidR="00DC2738" w:rsidRPr="001348E3">
        <w:rPr>
          <w:rFonts w:ascii="Calibri" w:hAnsi="Calibri" w:cs="Calibri"/>
          <w:kern w:val="0"/>
          <w:sz w:val="22"/>
          <w:szCs w:val="22"/>
          <w:lang w:eastAsia="de-DE"/>
        </w:rPr>
        <w:t>vitiligo</w:t>
      </w:r>
      <w:proofErr w:type="spellEnd"/>
      <w:r w:rsidR="00DC2738" w:rsidRPr="001348E3">
        <w:rPr>
          <w:rFonts w:ascii="Calibri" w:hAnsi="Calibri" w:cs="Calibri"/>
          <w:kern w:val="0"/>
          <w:sz w:val="22"/>
          <w:szCs w:val="22"/>
          <w:lang w:eastAsia="de-DE"/>
        </w:rPr>
        <w:t xml:space="preserve">. Br J </w:t>
      </w:r>
      <w:proofErr w:type="spellStart"/>
      <w:r w:rsidR="00DC2738" w:rsidRPr="001348E3">
        <w:rPr>
          <w:rFonts w:ascii="Calibri" w:hAnsi="Calibri" w:cs="Calibri"/>
          <w:kern w:val="0"/>
          <w:sz w:val="22"/>
          <w:szCs w:val="22"/>
          <w:lang w:eastAsia="de-DE"/>
        </w:rPr>
        <w:t>Dermatol</w:t>
      </w:r>
      <w:proofErr w:type="spellEnd"/>
      <w:r w:rsidR="00DC2738" w:rsidRPr="001348E3">
        <w:rPr>
          <w:rFonts w:ascii="Calibri" w:hAnsi="Calibri" w:cs="Calibri"/>
          <w:kern w:val="0"/>
          <w:sz w:val="22"/>
          <w:szCs w:val="22"/>
          <w:lang w:eastAsia="de-DE"/>
        </w:rPr>
        <w:t>. 2008;159(5):1052-1076</w:t>
      </w:r>
    </w:p>
    <w:p w:rsidR="00DC2738" w:rsidRPr="001348E3" w:rsidRDefault="00DC2738" w:rsidP="00DC2738">
      <w:pPr>
        <w:suppressAutoHyphens w:val="0"/>
        <w:jc w:val="left"/>
        <w:rPr>
          <w:rFonts w:ascii="Calibri" w:hAnsi="Calibri" w:cs="Calibri"/>
          <w:kern w:val="0"/>
          <w:sz w:val="22"/>
          <w:szCs w:val="22"/>
          <w:lang w:eastAsia="de-DE"/>
        </w:rPr>
      </w:pPr>
      <w:r w:rsidRPr="001348E3">
        <w:rPr>
          <w:rFonts w:ascii="Calibri" w:hAnsi="Calibri" w:cs="Calibri"/>
          <w:kern w:val="0"/>
          <w:sz w:val="22"/>
          <w:szCs w:val="22"/>
          <w:lang w:eastAsia="de-DE"/>
        </w:rPr>
        <w:t>1</w:t>
      </w:r>
      <w:r w:rsidR="00BA4B40" w:rsidRPr="001348E3">
        <w:rPr>
          <w:rFonts w:ascii="Calibri" w:hAnsi="Calibri" w:cs="Calibri"/>
          <w:kern w:val="0"/>
          <w:sz w:val="22"/>
          <w:szCs w:val="22"/>
          <w:lang w:eastAsia="de-DE"/>
        </w:rPr>
        <w:t>1</w:t>
      </w:r>
      <w:r w:rsidRPr="001348E3">
        <w:rPr>
          <w:rFonts w:ascii="Calibri" w:hAnsi="Calibri" w:cs="Calibri"/>
          <w:kern w:val="0"/>
          <w:sz w:val="22"/>
          <w:szCs w:val="22"/>
          <w:lang w:eastAsia="de-DE"/>
        </w:rPr>
        <w:t xml:space="preserve">. Gill L, </w:t>
      </w:r>
      <w:proofErr w:type="spellStart"/>
      <w:r w:rsidRPr="001348E3">
        <w:rPr>
          <w:rFonts w:ascii="Calibri" w:hAnsi="Calibri" w:cs="Calibri"/>
          <w:kern w:val="0"/>
          <w:sz w:val="22"/>
          <w:szCs w:val="22"/>
          <w:lang w:eastAsia="de-DE"/>
        </w:rPr>
        <w:t>Zarbo</w:t>
      </w:r>
      <w:proofErr w:type="spellEnd"/>
      <w:r w:rsidRPr="001348E3">
        <w:rPr>
          <w:rFonts w:ascii="Calibri" w:hAnsi="Calibri" w:cs="Calibri"/>
          <w:kern w:val="0"/>
          <w:sz w:val="22"/>
          <w:szCs w:val="22"/>
          <w:lang w:eastAsia="de-DE"/>
        </w:rPr>
        <w:t xml:space="preserve"> A, </w:t>
      </w:r>
      <w:proofErr w:type="spellStart"/>
      <w:r w:rsidRPr="001348E3">
        <w:rPr>
          <w:rFonts w:ascii="Calibri" w:hAnsi="Calibri" w:cs="Calibri"/>
          <w:kern w:val="0"/>
          <w:sz w:val="22"/>
          <w:szCs w:val="22"/>
          <w:lang w:eastAsia="de-DE"/>
        </w:rPr>
        <w:t>Isedeh</w:t>
      </w:r>
      <w:proofErr w:type="spellEnd"/>
      <w:r w:rsidRPr="001348E3">
        <w:rPr>
          <w:rFonts w:ascii="Calibri" w:hAnsi="Calibri" w:cs="Calibri"/>
          <w:kern w:val="0"/>
          <w:sz w:val="22"/>
          <w:szCs w:val="22"/>
          <w:lang w:eastAsia="de-DE"/>
        </w:rPr>
        <w:t xml:space="preserve"> P, Jacobsen G, Lim H, </w:t>
      </w:r>
      <w:proofErr w:type="spellStart"/>
      <w:r w:rsidRPr="001348E3">
        <w:rPr>
          <w:rFonts w:ascii="Calibri" w:hAnsi="Calibri" w:cs="Calibri"/>
          <w:kern w:val="0"/>
          <w:sz w:val="22"/>
          <w:szCs w:val="22"/>
          <w:lang w:eastAsia="de-DE"/>
        </w:rPr>
        <w:t>Hamzavi</w:t>
      </w:r>
      <w:proofErr w:type="spellEnd"/>
      <w:r w:rsidRPr="001348E3">
        <w:rPr>
          <w:rFonts w:ascii="Calibri" w:hAnsi="Calibri" w:cs="Calibri"/>
          <w:kern w:val="0"/>
          <w:sz w:val="22"/>
          <w:szCs w:val="22"/>
          <w:lang w:eastAsia="de-DE"/>
        </w:rPr>
        <w:t xml:space="preserve"> I. </w:t>
      </w:r>
      <w:proofErr w:type="spellStart"/>
      <w:r w:rsidRPr="001348E3">
        <w:rPr>
          <w:rFonts w:ascii="Calibri" w:hAnsi="Calibri" w:cs="Calibri"/>
          <w:kern w:val="0"/>
          <w:sz w:val="22"/>
          <w:szCs w:val="22"/>
          <w:lang w:eastAsia="de-DE"/>
        </w:rPr>
        <w:t>Comorbid</w:t>
      </w:r>
      <w:proofErr w:type="spellEnd"/>
      <w:r w:rsidRPr="001348E3">
        <w:rPr>
          <w:rFonts w:ascii="Calibri" w:hAnsi="Calibri" w:cs="Calibri"/>
          <w:kern w:val="0"/>
          <w:sz w:val="22"/>
          <w:szCs w:val="22"/>
          <w:lang w:eastAsia="de-DE"/>
        </w:rPr>
        <w:t xml:space="preserve"> autoimmune </w:t>
      </w:r>
      <w:proofErr w:type="spellStart"/>
      <w:r w:rsidRPr="001348E3">
        <w:rPr>
          <w:rFonts w:ascii="Calibri" w:hAnsi="Calibri" w:cs="Calibri"/>
          <w:kern w:val="0"/>
          <w:sz w:val="22"/>
          <w:szCs w:val="22"/>
          <w:lang w:eastAsia="de-DE"/>
        </w:rPr>
        <w:t>diseases</w:t>
      </w:r>
      <w:proofErr w:type="spellEnd"/>
      <w:r w:rsidRPr="001348E3">
        <w:rPr>
          <w:rFonts w:ascii="Calibri" w:hAnsi="Calibri" w:cs="Calibri"/>
          <w:kern w:val="0"/>
          <w:sz w:val="22"/>
          <w:szCs w:val="22"/>
          <w:lang w:eastAsia="de-DE"/>
        </w:rPr>
        <w:t xml:space="preserve"> in </w:t>
      </w:r>
      <w:proofErr w:type="spellStart"/>
      <w:r w:rsidRPr="001348E3">
        <w:rPr>
          <w:rFonts w:ascii="Calibri" w:hAnsi="Calibri" w:cs="Calibri"/>
          <w:kern w:val="0"/>
          <w:sz w:val="22"/>
          <w:szCs w:val="22"/>
          <w:lang w:eastAsia="de-DE"/>
        </w:rPr>
        <w:t>patients</w:t>
      </w:r>
      <w:proofErr w:type="spellEnd"/>
      <w:r w:rsidRPr="001348E3">
        <w:rPr>
          <w:rFonts w:ascii="Calibri" w:hAnsi="Calibri" w:cs="Calibri"/>
          <w:kern w:val="0"/>
          <w:sz w:val="22"/>
          <w:szCs w:val="22"/>
          <w:lang w:eastAsia="de-DE"/>
        </w:rPr>
        <w:t xml:space="preserve"> </w:t>
      </w:r>
      <w:proofErr w:type="spellStart"/>
      <w:r w:rsidRPr="001348E3">
        <w:rPr>
          <w:rFonts w:ascii="Calibri" w:hAnsi="Calibri" w:cs="Calibri"/>
          <w:kern w:val="0"/>
          <w:sz w:val="22"/>
          <w:szCs w:val="22"/>
          <w:lang w:eastAsia="de-DE"/>
        </w:rPr>
        <w:t>with</w:t>
      </w:r>
      <w:proofErr w:type="spellEnd"/>
      <w:r w:rsidRPr="001348E3">
        <w:rPr>
          <w:rFonts w:ascii="Calibri" w:hAnsi="Calibri" w:cs="Calibri"/>
          <w:kern w:val="0"/>
          <w:sz w:val="22"/>
          <w:szCs w:val="22"/>
          <w:lang w:eastAsia="de-DE"/>
        </w:rPr>
        <w:t xml:space="preserve"> </w:t>
      </w:r>
      <w:proofErr w:type="spellStart"/>
      <w:r w:rsidRPr="001348E3">
        <w:rPr>
          <w:rFonts w:ascii="Calibri" w:hAnsi="Calibri" w:cs="Calibri"/>
          <w:kern w:val="0"/>
          <w:sz w:val="22"/>
          <w:szCs w:val="22"/>
          <w:lang w:eastAsia="de-DE"/>
        </w:rPr>
        <w:t>vitiligo</w:t>
      </w:r>
      <w:proofErr w:type="spellEnd"/>
      <w:r w:rsidRPr="001348E3">
        <w:rPr>
          <w:rFonts w:ascii="Calibri" w:hAnsi="Calibri" w:cs="Calibri"/>
          <w:kern w:val="0"/>
          <w:sz w:val="22"/>
          <w:szCs w:val="22"/>
          <w:lang w:eastAsia="de-DE"/>
        </w:rPr>
        <w:t xml:space="preserve">: a </w:t>
      </w:r>
      <w:proofErr w:type="spellStart"/>
      <w:r w:rsidRPr="001348E3">
        <w:rPr>
          <w:rFonts w:ascii="Calibri" w:hAnsi="Calibri" w:cs="Calibri"/>
          <w:kern w:val="0"/>
          <w:sz w:val="22"/>
          <w:szCs w:val="22"/>
          <w:lang w:eastAsia="de-DE"/>
        </w:rPr>
        <w:t>cross-sectional</w:t>
      </w:r>
      <w:proofErr w:type="spellEnd"/>
      <w:r w:rsidRPr="001348E3">
        <w:rPr>
          <w:rFonts w:ascii="Calibri" w:hAnsi="Calibri" w:cs="Calibri"/>
          <w:kern w:val="0"/>
          <w:sz w:val="22"/>
          <w:szCs w:val="22"/>
          <w:lang w:eastAsia="de-DE"/>
        </w:rPr>
        <w:t xml:space="preserve"> </w:t>
      </w:r>
      <w:proofErr w:type="spellStart"/>
      <w:r w:rsidRPr="001348E3">
        <w:rPr>
          <w:rFonts w:ascii="Calibri" w:hAnsi="Calibri" w:cs="Calibri"/>
          <w:kern w:val="0"/>
          <w:sz w:val="22"/>
          <w:szCs w:val="22"/>
          <w:lang w:eastAsia="de-DE"/>
        </w:rPr>
        <w:t>study</w:t>
      </w:r>
      <w:proofErr w:type="spellEnd"/>
      <w:r w:rsidRPr="001348E3">
        <w:rPr>
          <w:rFonts w:ascii="Calibri" w:hAnsi="Calibri" w:cs="Calibri"/>
          <w:kern w:val="0"/>
          <w:sz w:val="22"/>
          <w:szCs w:val="22"/>
          <w:lang w:eastAsia="de-DE"/>
        </w:rPr>
        <w:t xml:space="preserve">. J Am </w:t>
      </w:r>
      <w:proofErr w:type="spellStart"/>
      <w:r w:rsidRPr="001348E3">
        <w:rPr>
          <w:rFonts w:ascii="Calibri" w:hAnsi="Calibri" w:cs="Calibri"/>
          <w:kern w:val="0"/>
          <w:sz w:val="22"/>
          <w:szCs w:val="22"/>
          <w:lang w:eastAsia="de-DE"/>
        </w:rPr>
        <w:t>Acad</w:t>
      </w:r>
      <w:proofErr w:type="spellEnd"/>
      <w:r w:rsidRPr="001348E3">
        <w:rPr>
          <w:rFonts w:ascii="Calibri" w:hAnsi="Calibri" w:cs="Calibri"/>
          <w:kern w:val="0"/>
          <w:sz w:val="22"/>
          <w:szCs w:val="22"/>
          <w:lang w:eastAsia="de-DE"/>
        </w:rPr>
        <w:t xml:space="preserve"> </w:t>
      </w:r>
      <w:proofErr w:type="spellStart"/>
      <w:r w:rsidRPr="001348E3">
        <w:rPr>
          <w:rFonts w:ascii="Calibri" w:hAnsi="Calibri" w:cs="Calibri"/>
          <w:kern w:val="0"/>
          <w:sz w:val="22"/>
          <w:szCs w:val="22"/>
          <w:lang w:eastAsia="de-DE"/>
        </w:rPr>
        <w:t>Dermatol</w:t>
      </w:r>
      <w:proofErr w:type="spellEnd"/>
      <w:r w:rsidRPr="001348E3">
        <w:rPr>
          <w:rFonts w:ascii="Calibri" w:hAnsi="Calibri" w:cs="Calibri"/>
          <w:kern w:val="0"/>
          <w:sz w:val="22"/>
          <w:szCs w:val="22"/>
          <w:lang w:eastAsia="de-DE"/>
        </w:rPr>
        <w:t>. 2016;74(2):295-302</w:t>
      </w:r>
    </w:p>
    <w:p w:rsidR="00DC2738" w:rsidRPr="001348E3" w:rsidRDefault="00DC2738" w:rsidP="00DC2738">
      <w:pPr>
        <w:suppressAutoHyphens w:val="0"/>
        <w:jc w:val="left"/>
        <w:rPr>
          <w:rFonts w:ascii="Calibri" w:hAnsi="Calibri" w:cs="Calibri"/>
          <w:kern w:val="0"/>
          <w:sz w:val="22"/>
          <w:szCs w:val="22"/>
          <w:lang w:eastAsia="de-DE"/>
        </w:rPr>
      </w:pPr>
      <w:r w:rsidRPr="001348E3">
        <w:rPr>
          <w:rFonts w:ascii="Calibri" w:hAnsi="Calibri" w:cs="Calibri"/>
          <w:kern w:val="0"/>
          <w:sz w:val="22"/>
          <w:szCs w:val="22"/>
          <w:lang w:eastAsia="de-DE"/>
        </w:rPr>
        <w:t>1</w:t>
      </w:r>
      <w:r w:rsidR="00BA4B40" w:rsidRPr="001348E3">
        <w:rPr>
          <w:rFonts w:ascii="Calibri" w:hAnsi="Calibri" w:cs="Calibri"/>
          <w:kern w:val="0"/>
          <w:sz w:val="22"/>
          <w:szCs w:val="22"/>
          <w:lang w:eastAsia="de-DE"/>
        </w:rPr>
        <w:t>2</w:t>
      </w:r>
      <w:r w:rsidRPr="001348E3">
        <w:rPr>
          <w:rFonts w:ascii="Calibri" w:hAnsi="Calibri" w:cs="Calibri"/>
          <w:kern w:val="0"/>
          <w:sz w:val="22"/>
          <w:szCs w:val="22"/>
          <w:lang w:eastAsia="de-DE"/>
        </w:rPr>
        <w:t xml:space="preserve">. Sawicki J, </w:t>
      </w:r>
      <w:proofErr w:type="spellStart"/>
      <w:r w:rsidRPr="001348E3">
        <w:rPr>
          <w:rFonts w:ascii="Calibri" w:hAnsi="Calibri" w:cs="Calibri"/>
          <w:kern w:val="0"/>
          <w:sz w:val="22"/>
          <w:szCs w:val="22"/>
          <w:lang w:eastAsia="de-DE"/>
        </w:rPr>
        <w:t>Siddha</w:t>
      </w:r>
      <w:proofErr w:type="spellEnd"/>
      <w:r w:rsidRPr="001348E3">
        <w:rPr>
          <w:rFonts w:ascii="Calibri" w:hAnsi="Calibri" w:cs="Calibri"/>
          <w:kern w:val="0"/>
          <w:sz w:val="22"/>
          <w:szCs w:val="22"/>
          <w:lang w:eastAsia="de-DE"/>
        </w:rPr>
        <w:t xml:space="preserve"> S, Rosen C. Vitiligo and </w:t>
      </w:r>
      <w:proofErr w:type="spellStart"/>
      <w:r w:rsidRPr="001348E3">
        <w:rPr>
          <w:rFonts w:ascii="Calibri" w:hAnsi="Calibri" w:cs="Calibri"/>
          <w:kern w:val="0"/>
          <w:sz w:val="22"/>
          <w:szCs w:val="22"/>
          <w:lang w:eastAsia="de-DE"/>
        </w:rPr>
        <w:t>associated</w:t>
      </w:r>
      <w:proofErr w:type="spellEnd"/>
      <w:r w:rsidRPr="001348E3">
        <w:rPr>
          <w:rFonts w:ascii="Calibri" w:hAnsi="Calibri" w:cs="Calibri"/>
          <w:kern w:val="0"/>
          <w:sz w:val="22"/>
          <w:szCs w:val="22"/>
          <w:lang w:eastAsia="de-DE"/>
        </w:rPr>
        <w:t xml:space="preserve"> autoimmune </w:t>
      </w:r>
      <w:proofErr w:type="spellStart"/>
      <w:r w:rsidRPr="001348E3">
        <w:rPr>
          <w:rFonts w:ascii="Calibri" w:hAnsi="Calibri" w:cs="Calibri"/>
          <w:kern w:val="0"/>
          <w:sz w:val="22"/>
          <w:szCs w:val="22"/>
          <w:lang w:eastAsia="de-DE"/>
        </w:rPr>
        <w:t>disease</w:t>
      </w:r>
      <w:proofErr w:type="spellEnd"/>
      <w:r w:rsidRPr="001348E3">
        <w:rPr>
          <w:rFonts w:ascii="Calibri" w:hAnsi="Calibri" w:cs="Calibri"/>
          <w:kern w:val="0"/>
          <w:sz w:val="22"/>
          <w:szCs w:val="22"/>
          <w:lang w:eastAsia="de-DE"/>
        </w:rPr>
        <w:t xml:space="preserve">: </w:t>
      </w:r>
      <w:proofErr w:type="spellStart"/>
      <w:r w:rsidRPr="001348E3">
        <w:rPr>
          <w:rFonts w:ascii="Calibri" w:hAnsi="Calibri" w:cs="Calibri"/>
          <w:kern w:val="0"/>
          <w:sz w:val="22"/>
          <w:szCs w:val="22"/>
          <w:lang w:eastAsia="de-DE"/>
        </w:rPr>
        <w:t>retrospective</w:t>
      </w:r>
      <w:proofErr w:type="spellEnd"/>
      <w:r w:rsidRPr="001348E3">
        <w:rPr>
          <w:rFonts w:ascii="Calibri" w:hAnsi="Calibri" w:cs="Calibri"/>
          <w:kern w:val="0"/>
          <w:sz w:val="22"/>
          <w:szCs w:val="22"/>
          <w:lang w:eastAsia="de-DE"/>
        </w:rPr>
        <w:t xml:space="preserve"> review </w:t>
      </w:r>
      <w:proofErr w:type="spellStart"/>
      <w:r w:rsidRPr="001348E3">
        <w:rPr>
          <w:rFonts w:ascii="Calibri" w:hAnsi="Calibri" w:cs="Calibri"/>
          <w:kern w:val="0"/>
          <w:sz w:val="22"/>
          <w:szCs w:val="22"/>
          <w:lang w:eastAsia="de-DE"/>
        </w:rPr>
        <w:t>of</w:t>
      </w:r>
      <w:proofErr w:type="spellEnd"/>
      <w:r w:rsidRPr="001348E3">
        <w:rPr>
          <w:rFonts w:ascii="Calibri" w:hAnsi="Calibri" w:cs="Calibri"/>
          <w:kern w:val="0"/>
          <w:sz w:val="22"/>
          <w:szCs w:val="22"/>
          <w:lang w:eastAsia="de-DE"/>
        </w:rPr>
        <w:t xml:space="preserve"> 300 </w:t>
      </w:r>
      <w:proofErr w:type="spellStart"/>
      <w:r w:rsidRPr="001348E3">
        <w:rPr>
          <w:rFonts w:ascii="Calibri" w:hAnsi="Calibri" w:cs="Calibri"/>
          <w:kern w:val="0"/>
          <w:sz w:val="22"/>
          <w:szCs w:val="22"/>
          <w:lang w:eastAsia="de-DE"/>
        </w:rPr>
        <w:t>patients</w:t>
      </w:r>
      <w:proofErr w:type="spellEnd"/>
      <w:r w:rsidRPr="001348E3">
        <w:rPr>
          <w:rFonts w:ascii="Calibri" w:hAnsi="Calibri" w:cs="Calibri"/>
          <w:kern w:val="0"/>
          <w:sz w:val="22"/>
          <w:szCs w:val="22"/>
          <w:lang w:eastAsia="de-DE"/>
        </w:rPr>
        <w:t xml:space="preserve">. J </w:t>
      </w:r>
      <w:proofErr w:type="spellStart"/>
      <w:r w:rsidRPr="001348E3">
        <w:rPr>
          <w:rFonts w:ascii="Calibri" w:hAnsi="Calibri" w:cs="Calibri"/>
          <w:kern w:val="0"/>
          <w:sz w:val="22"/>
          <w:szCs w:val="22"/>
          <w:lang w:eastAsia="de-DE"/>
        </w:rPr>
        <w:t>Cutan</w:t>
      </w:r>
      <w:proofErr w:type="spellEnd"/>
      <w:r w:rsidRPr="001348E3">
        <w:rPr>
          <w:rFonts w:ascii="Calibri" w:hAnsi="Calibri" w:cs="Calibri"/>
          <w:kern w:val="0"/>
          <w:sz w:val="22"/>
          <w:szCs w:val="22"/>
          <w:lang w:eastAsia="de-DE"/>
        </w:rPr>
        <w:t xml:space="preserve"> </w:t>
      </w:r>
      <w:proofErr w:type="spellStart"/>
      <w:r w:rsidRPr="001348E3">
        <w:rPr>
          <w:rFonts w:ascii="Calibri" w:hAnsi="Calibri" w:cs="Calibri"/>
          <w:kern w:val="0"/>
          <w:sz w:val="22"/>
          <w:szCs w:val="22"/>
          <w:lang w:eastAsia="de-DE"/>
        </w:rPr>
        <w:t>Med</w:t>
      </w:r>
      <w:proofErr w:type="spellEnd"/>
      <w:r w:rsidRPr="001348E3">
        <w:rPr>
          <w:rFonts w:ascii="Calibri" w:hAnsi="Calibri" w:cs="Calibri"/>
          <w:kern w:val="0"/>
          <w:sz w:val="22"/>
          <w:szCs w:val="22"/>
          <w:lang w:eastAsia="de-DE"/>
        </w:rPr>
        <w:t xml:space="preserve"> </w:t>
      </w:r>
      <w:proofErr w:type="spellStart"/>
      <w:r w:rsidRPr="001348E3">
        <w:rPr>
          <w:rFonts w:ascii="Calibri" w:hAnsi="Calibri" w:cs="Calibri"/>
          <w:kern w:val="0"/>
          <w:sz w:val="22"/>
          <w:szCs w:val="22"/>
          <w:lang w:eastAsia="de-DE"/>
        </w:rPr>
        <w:t>Surg</w:t>
      </w:r>
      <w:proofErr w:type="spellEnd"/>
      <w:r w:rsidRPr="001348E3">
        <w:rPr>
          <w:rFonts w:ascii="Calibri" w:hAnsi="Calibri" w:cs="Calibri"/>
          <w:kern w:val="0"/>
          <w:sz w:val="22"/>
          <w:szCs w:val="22"/>
          <w:lang w:eastAsia="de-DE"/>
        </w:rPr>
        <w:t>. 2012;16(4):261-266</w:t>
      </w:r>
    </w:p>
    <w:p w:rsidR="00DC2738" w:rsidRPr="001348E3" w:rsidRDefault="00DC2738" w:rsidP="00DC2738">
      <w:pPr>
        <w:suppressAutoHyphens w:val="0"/>
        <w:jc w:val="left"/>
        <w:rPr>
          <w:rFonts w:ascii="Calibri" w:hAnsi="Calibri" w:cs="Calibri"/>
          <w:kern w:val="0"/>
          <w:sz w:val="22"/>
          <w:szCs w:val="22"/>
          <w:lang w:eastAsia="de-DE"/>
        </w:rPr>
      </w:pPr>
      <w:r w:rsidRPr="001348E3">
        <w:rPr>
          <w:rFonts w:ascii="Calibri" w:hAnsi="Calibri" w:cs="Calibri"/>
          <w:kern w:val="0"/>
          <w:sz w:val="22"/>
          <w:szCs w:val="22"/>
          <w:lang w:eastAsia="de-DE"/>
        </w:rPr>
        <w:t xml:space="preserve">Yuan J, Sun C, Jiang S, et al. The </w:t>
      </w:r>
      <w:proofErr w:type="spellStart"/>
      <w:r w:rsidRPr="001348E3">
        <w:rPr>
          <w:rFonts w:ascii="Calibri" w:hAnsi="Calibri" w:cs="Calibri"/>
          <w:kern w:val="0"/>
          <w:sz w:val="22"/>
          <w:szCs w:val="22"/>
          <w:lang w:eastAsia="de-DE"/>
        </w:rPr>
        <w:t>prevalence</w:t>
      </w:r>
      <w:proofErr w:type="spellEnd"/>
      <w:r w:rsidRPr="001348E3">
        <w:rPr>
          <w:rFonts w:ascii="Calibri" w:hAnsi="Calibri" w:cs="Calibri"/>
          <w:kern w:val="0"/>
          <w:sz w:val="22"/>
          <w:szCs w:val="22"/>
          <w:lang w:eastAsia="de-DE"/>
        </w:rPr>
        <w:t xml:space="preserve"> </w:t>
      </w:r>
      <w:proofErr w:type="spellStart"/>
      <w:r w:rsidRPr="001348E3">
        <w:rPr>
          <w:rFonts w:ascii="Calibri" w:hAnsi="Calibri" w:cs="Calibri"/>
          <w:kern w:val="0"/>
          <w:sz w:val="22"/>
          <w:szCs w:val="22"/>
          <w:lang w:eastAsia="de-DE"/>
        </w:rPr>
        <w:t>of</w:t>
      </w:r>
      <w:proofErr w:type="spellEnd"/>
      <w:r w:rsidRPr="001348E3">
        <w:rPr>
          <w:rFonts w:ascii="Calibri" w:hAnsi="Calibri" w:cs="Calibri"/>
          <w:kern w:val="0"/>
          <w:sz w:val="22"/>
          <w:szCs w:val="22"/>
          <w:lang w:eastAsia="de-DE"/>
        </w:rPr>
        <w:t xml:space="preserve"> </w:t>
      </w:r>
      <w:proofErr w:type="spellStart"/>
      <w:r w:rsidRPr="001348E3">
        <w:rPr>
          <w:rFonts w:ascii="Calibri" w:hAnsi="Calibri" w:cs="Calibri"/>
          <w:kern w:val="0"/>
          <w:sz w:val="22"/>
          <w:szCs w:val="22"/>
          <w:lang w:eastAsia="de-DE"/>
        </w:rPr>
        <w:t>thyroid</w:t>
      </w:r>
      <w:proofErr w:type="spellEnd"/>
      <w:r w:rsidRPr="001348E3">
        <w:rPr>
          <w:rFonts w:ascii="Calibri" w:hAnsi="Calibri" w:cs="Calibri"/>
          <w:kern w:val="0"/>
          <w:sz w:val="22"/>
          <w:szCs w:val="22"/>
          <w:lang w:eastAsia="de-DE"/>
        </w:rPr>
        <w:t xml:space="preserve"> </w:t>
      </w:r>
      <w:proofErr w:type="spellStart"/>
      <w:r w:rsidRPr="001348E3">
        <w:rPr>
          <w:rFonts w:ascii="Calibri" w:hAnsi="Calibri" w:cs="Calibri"/>
          <w:kern w:val="0"/>
          <w:sz w:val="22"/>
          <w:szCs w:val="22"/>
          <w:lang w:eastAsia="de-DE"/>
        </w:rPr>
        <w:t>disorders</w:t>
      </w:r>
      <w:proofErr w:type="spellEnd"/>
      <w:r w:rsidRPr="001348E3">
        <w:rPr>
          <w:rFonts w:ascii="Calibri" w:hAnsi="Calibri" w:cs="Calibri"/>
          <w:kern w:val="0"/>
          <w:sz w:val="22"/>
          <w:szCs w:val="22"/>
          <w:lang w:eastAsia="de-DE"/>
        </w:rPr>
        <w:t xml:space="preserve"> in </w:t>
      </w:r>
      <w:proofErr w:type="spellStart"/>
      <w:r w:rsidRPr="001348E3">
        <w:rPr>
          <w:rFonts w:ascii="Calibri" w:hAnsi="Calibri" w:cs="Calibri"/>
          <w:kern w:val="0"/>
          <w:sz w:val="22"/>
          <w:szCs w:val="22"/>
          <w:lang w:eastAsia="de-DE"/>
        </w:rPr>
        <w:t>patients</w:t>
      </w:r>
      <w:proofErr w:type="spellEnd"/>
      <w:r w:rsidRPr="001348E3">
        <w:rPr>
          <w:rFonts w:ascii="Calibri" w:hAnsi="Calibri" w:cs="Calibri"/>
          <w:kern w:val="0"/>
          <w:sz w:val="22"/>
          <w:szCs w:val="22"/>
          <w:lang w:eastAsia="de-DE"/>
        </w:rPr>
        <w:t xml:space="preserve"> </w:t>
      </w:r>
      <w:proofErr w:type="spellStart"/>
      <w:r w:rsidRPr="001348E3">
        <w:rPr>
          <w:rFonts w:ascii="Calibri" w:hAnsi="Calibri" w:cs="Calibri"/>
          <w:kern w:val="0"/>
          <w:sz w:val="22"/>
          <w:szCs w:val="22"/>
          <w:lang w:eastAsia="de-DE"/>
        </w:rPr>
        <w:t>with</w:t>
      </w:r>
      <w:proofErr w:type="spellEnd"/>
      <w:r w:rsidRPr="001348E3">
        <w:rPr>
          <w:rFonts w:ascii="Calibri" w:hAnsi="Calibri" w:cs="Calibri"/>
          <w:kern w:val="0"/>
          <w:sz w:val="22"/>
          <w:szCs w:val="22"/>
          <w:lang w:eastAsia="de-DE"/>
        </w:rPr>
        <w:t xml:space="preserve"> </w:t>
      </w:r>
      <w:proofErr w:type="spellStart"/>
      <w:r w:rsidRPr="001348E3">
        <w:rPr>
          <w:rFonts w:ascii="Calibri" w:hAnsi="Calibri" w:cs="Calibri"/>
          <w:kern w:val="0"/>
          <w:sz w:val="22"/>
          <w:szCs w:val="22"/>
          <w:lang w:eastAsia="de-DE"/>
        </w:rPr>
        <w:t>vitiligo</w:t>
      </w:r>
      <w:proofErr w:type="spellEnd"/>
      <w:r w:rsidRPr="001348E3">
        <w:rPr>
          <w:rFonts w:ascii="Calibri" w:hAnsi="Calibri" w:cs="Calibri"/>
          <w:kern w:val="0"/>
          <w:sz w:val="22"/>
          <w:szCs w:val="22"/>
          <w:lang w:eastAsia="de-DE"/>
        </w:rPr>
        <w:t xml:space="preserve">: a </w:t>
      </w:r>
      <w:proofErr w:type="spellStart"/>
      <w:r w:rsidRPr="001348E3">
        <w:rPr>
          <w:rFonts w:ascii="Calibri" w:hAnsi="Calibri" w:cs="Calibri"/>
          <w:kern w:val="0"/>
          <w:sz w:val="22"/>
          <w:szCs w:val="22"/>
          <w:lang w:eastAsia="de-DE"/>
        </w:rPr>
        <w:t>systematic</w:t>
      </w:r>
      <w:proofErr w:type="spellEnd"/>
      <w:r w:rsidRPr="001348E3">
        <w:rPr>
          <w:rFonts w:ascii="Calibri" w:hAnsi="Calibri" w:cs="Calibri"/>
          <w:kern w:val="0"/>
          <w:sz w:val="22"/>
          <w:szCs w:val="22"/>
          <w:lang w:eastAsia="de-DE"/>
        </w:rPr>
        <w:t xml:space="preserve"> review and meta-analysis. Front </w:t>
      </w:r>
      <w:proofErr w:type="spellStart"/>
      <w:r w:rsidRPr="001348E3">
        <w:rPr>
          <w:rFonts w:ascii="Calibri" w:hAnsi="Calibri" w:cs="Calibri"/>
          <w:kern w:val="0"/>
          <w:sz w:val="22"/>
          <w:szCs w:val="22"/>
          <w:lang w:eastAsia="de-DE"/>
        </w:rPr>
        <w:t>Endocrinol</w:t>
      </w:r>
      <w:proofErr w:type="spellEnd"/>
      <w:r w:rsidRPr="001348E3">
        <w:rPr>
          <w:rFonts w:ascii="Calibri" w:hAnsi="Calibri" w:cs="Calibri"/>
          <w:kern w:val="0"/>
          <w:sz w:val="22"/>
          <w:szCs w:val="22"/>
          <w:lang w:eastAsia="de-DE"/>
        </w:rPr>
        <w:t xml:space="preserve">. </w:t>
      </w:r>
      <w:proofErr w:type="gramStart"/>
      <w:r w:rsidRPr="001348E3">
        <w:rPr>
          <w:rFonts w:ascii="Calibri" w:hAnsi="Calibri" w:cs="Calibri"/>
          <w:kern w:val="0"/>
          <w:sz w:val="22"/>
          <w:szCs w:val="22"/>
          <w:lang w:eastAsia="de-DE"/>
        </w:rPr>
        <w:t>2019;9:1</w:t>
      </w:r>
      <w:proofErr w:type="gramEnd"/>
      <w:r w:rsidRPr="001348E3">
        <w:rPr>
          <w:rFonts w:ascii="Calibri" w:hAnsi="Calibri" w:cs="Calibri"/>
          <w:kern w:val="0"/>
          <w:sz w:val="22"/>
          <w:szCs w:val="22"/>
          <w:lang w:eastAsia="de-DE"/>
        </w:rPr>
        <w:t>-13</w:t>
      </w:r>
    </w:p>
    <w:p w:rsidR="00DC2738" w:rsidRPr="001348E3" w:rsidRDefault="00DC2738" w:rsidP="00DC2738">
      <w:pPr>
        <w:pStyle w:val="StandardWeb"/>
        <w:spacing w:before="0" w:beforeAutospacing="0" w:after="0" w:afterAutospacing="0"/>
        <w:rPr>
          <w:rFonts w:ascii="Calibri" w:hAnsi="Calibri" w:cs="Calibri"/>
          <w:sz w:val="22"/>
          <w:szCs w:val="22"/>
        </w:rPr>
      </w:pPr>
      <w:r w:rsidRPr="001348E3">
        <w:rPr>
          <w:rFonts w:ascii="Calibri" w:hAnsi="Calibri" w:cs="Calibri"/>
          <w:sz w:val="22"/>
          <w:szCs w:val="22"/>
        </w:rPr>
        <w:t>1</w:t>
      </w:r>
      <w:r w:rsidR="00BA4B40" w:rsidRPr="001348E3">
        <w:rPr>
          <w:rFonts w:ascii="Calibri" w:hAnsi="Calibri" w:cs="Calibri"/>
          <w:sz w:val="22"/>
          <w:szCs w:val="22"/>
        </w:rPr>
        <w:t>3</w:t>
      </w:r>
      <w:r w:rsidRPr="001348E3">
        <w:rPr>
          <w:rFonts w:ascii="Calibri" w:hAnsi="Calibri" w:cs="Calibri"/>
          <w:sz w:val="22"/>
          <w:szCs w:val="22"/>
        </w:rPr>
        <w:t xml:space="preserve">. Yuan J, Sun C, Jiang S, et al. The </w:t>
      </w:r>
      <w:proofErr w:type="spellStart"/>
      <w:r w:rsidRPr="001348E3">
        <w:rPr>
          <w:rFonts w:ascii="Calibri" w:hAnsi="Calibri" w:cs="Calibri"/>
          <w:sz w:val="22"/>
          <w:szCs w:val="22"/>
        </w:rPr>
        <w:t>prevalence</w:t>
      </w:r>
      <w:proofErr w:type="spellEnd"/>
      <w:r w:rsidRPr="001348E3">
        <w:rPr>
          <w:rFonts w:ascii="Calibri" w:hAnsi="Calibri" w:cs="Calibri"/>
          <w:sz w:val="22"/>
          <w:szCs w:val="22"/>
        </w:rPr>
        <w:t xml:space="preserve"> </w:t>
      </w:r>
      <w:proofErr w:type="spellStart"/>
      <w:r w:rsidRPr="001348E3">
        <w:rPr>
          <w:rFonts w:ascii="Calibri" w:hAnsi="Calibri" w:cs="Calibri"/>
          <w:sz w:val="22"/>
          <w:szCs w:val="22"/>
        </w:rPr>
        <w:t>of</w:t>
      </w:r>
      <w:proofErr w:type="spellEnd"/>
      <w:r w:rsidRPr="001348E3">
        <w:rPr>
          <w:rFonts w:ascii="Calibri" w:hAnsi="Calibri" w:cs="Calibri"/>
          <w:sz w:val="22"/>
          <w:szCs w:val="22"/>
        </w:rPr>
        <w:t xml:space="preserve"> </w:t>
      </w:r>
      <w:proofErr w:type="spellStart"/>
      <w:r w:rsidRPr="001348E3">
        <w:rPr>
          <w:rFonts w:ascii="Calibri" w:hAnsi="Calibri" w:cs="Calibri"/>
          <w:sz w:val="22"/>
          <w:szCs w:val="22"/>
        </w:rPr>
        <w:t>thyroid</w:t>
      </w:r>
      <w:proofErr w:type="spellEnd"/>
      <w:r w:rsidRPr="001348E3">
        <w:rPr>
          <w:rFonts w:ascii="Calibri" w:hAnsi="Calibri" w:cs="Calibri"/>
          <w:sz w:val="22"/>
          <w:szCs w:val="22"/>
        </w:rPr>
        <w:t xml:space="preserve"> </w:t>
      </w:r>
      <w:proofErr w:type="spellStart"/>
      <w:r w:rsidRPr="001348E3">
        <w:rPr>
          <w:rFonts w:ascii="Calibri" w:hAnsi="Calibri" w:cs="Calibri"/>
          <w:sz w:val="22"/>
          <w:szCs w:val="22"/>
        </w:rPr>
        <w:t>disorders</w:t>
      </w:r>
      <w:proofErr w:type="spellEnd"/>
      <w:r w:rsidRPr="001348E3">
        <w:rPr>
          <w:rFonts w:ascii="Calibri" w:hAnsi="Calibri" w:cs="Calibri"/>
          <w:sz w:val="22"/>
          <w:szCs w:val="22"/>
        </w:rPr>
        <w:t xml:space="preserve"> in </w:t>
      </w:r>
      <w:proofErr w:type="spellStart"/>
      <w:r w:rsidRPr="001348E3">
        <w:rPr>
          <w:rFonts w:ascii="Calibri" w:hAnsi="Calibri" w:cs="Calibri"/>
          <w:sz w:val="22"/>
          <w:szCs w:val="22"/>
        </w:rPr>
        <w:t>patients</w:t>
      </w:r>
      <w:proofErr w:type="spellEnd"/>
      <w:r w:rsidRPr="001348E3">
        <w:rPr>
          <w:rFonts w:ascii="Calibri" w:hAnsi="Calibri" w:cs="Calibri"/>
          <w:sz w:val="22"/>
          <w:szCs w:val="22"/>
        </w:rPr>
        <w:t xml:space="preserve"> </w:t>
      </w:r>
      <w:proofErr w:type="spellStart"/>
      <w:r w:rsidRPr="001348E3">
        <w:rPr>
          <w:rFonts w:ascii="Calibri" w:hAnsi="Calibri" w:cs="Calibri"/>
          <w:sz w:val="22"/>
          <w:szCs w:val="22"/>
        </w:rPr>
        <w:t>with</w:t>
      </w:r>
      <w:proofErr w:type="spellEnd"/>
      <w:r w:rsidRPr="001348E3">
        <w:rPr>
          <w:rFonts w:ascii="Calibri" w:hAnsi="Calibri" w:cs="Calibri"/>
          <w:sz w:val="22"/>
          <w:szCs w:val="22"/>
        </w:rPr>
        <w:t xml:space="preserve"> </w:t>
      </w:r>
      <w:proofErr w:type="spellStart"/>
      <w:r w:rsidRPr="001348E3">
        <w:rPr>
          <w:rFonts w:ascii="Calibri" w:hAnsi="Calibri" w:cs="Calibri"/>
          <w:sz w:val="22"/>
          <w:szCs w:val="22"/>
        </w:rPr>
        <w:t>vitiligo</w:t>
      </w:r>
      <w:proofErr w:type="spellEnd"/>
      <w:r w:rsidRPr="001348E3">
        <w:rPr>
          <w:rFonts w:ascii="Calibri" w:hAnsi="Calibri" w:cs="Calibri"/>
          <w:sz w:val="22"/>
          <w:szCs w:val="22"/>
        </w:rPr>
        <w:t xml:space="preserve">: a </w:t>
      </w:r>
      <w:proofErr w:type="spellStart"/>
      <w:r w:rsidRPr="001348E3">
        <w:rPr>
          <w:rFonts w:ascii="Calibri" w:hAnsi="Calibri" w:cs="Calibri"/>
          <w:sz w:val="22"/>
          <w:szCs w:val="22"/>
        </w:rPr>
        <w:t>systematic</w:t>
      </w:r>
      <w:proofErr w:type="spellEnd"/>
      <w:r w:rsidRPr="001348E3">
        <w:rPr>
          <w:rFonts w:ascii="Calibri" w:hAnsi="Calibri" w:cs="Calibri"/>
          <w:sz w:val="22"/>
          <w:szCs w:val="22"/>
        </w:rPr>
        <w:t xml:space="preserve"> review and meta-analysis. Front </w:t>
      </w:r>
      <w:proofErr w:type="spellStart"/>
      <w:r w:rsidRPr="001348E3">
        <w:rPr>
          <w:rFonts w:ascii="Calibri" w:hAnsi="Calibri" w:cs="Calibri"/>
          <w:sz w:val="22"/>
          <w:szCs w:val="22"/>
        </w:rPr>
        <w:t>Endocrinol</w:t>
      </w:r>
      <w:proofErr w:type="spellEnd"/>
      <w:r w:rsidRPr="001348E3">
        <w:rPr>
          <w:rFonts w:ascii="Calibri" w:hAnsi="Calibri" w:cs="Calibri"/>
          <w:sz w:val="22"/>
          <w:szCs w:val="22"/>
        </w:rPr>
        <w:t xml:space="preserve">. </w:t>
      </w:r>
      <w:proofErr w:type="gramStart"/>
      <w:r w:rsidRPr="001348E3">
        <w:rPr>
          <w:rFonts w:ascii="Calibri" w:hAnsi="Calibri" w:cs="Calibri"/>
          <w:sz w:val="22"/>
          <w:szCs w:val="22"/>
        </w:rPr>
        <w:t>2019;9:1</w:t>
      </w:r>
      <w:proofErr w:type="gramEnd"/>
      <w:r w:rsidRPr="001348E3">
        <w:rPr>
          <w:rFonts w:ascii="Calibri" w:hAnsi="Calibri" w:cs="Calibri"/>
          <w:sz w:val="22"/>
          <w:szCs w:val="22"/>
        </w:rPr>
        <w:t>-13</w:t>
      </w:r>
    </w:p>
    <w:p w:rsidR="00D1390E" w:rsidRPr="001348E3" w:rsidRDefault="00D1390E" w:rsidP="00D1390E">
      <w:pPr>
        <w:pStyle w:val="StandardWeb"/>
        <w:spacing w:before="0" w:beforeAutospacing="0" w:after="0" w:afterAutospacing="0"/>
        <w:rPr>
          <w:rFonts w:ascii="Calibri" w:hAnsi="Calibri" w:cs="Calibri"/>
          <w:sz w:val="22"/>
          <w:szCs w:val="22"/>
        </w:rPr>
      </w:pPr>
      <w:r w:rsidRPr="001348E3">
        <w:rPr>
          <w:rFonts w:ascii="Calibri" w:hAnsi="Calibri" w:cs="Calibri"/>
          <w:sz w:val="22"/>
          <w:szCs w:val="22"/>
        </w:rPr>
        <w:lastRenderedPageBreak/>
        <w:t>1</w:t>
      </w:r>
      <w:r w:rsidR="00BA4B40" w:rsidRPr="001348E3">
        <w:rPr>
          <w:rFonts w:ascii="Calibri" w:hAnsi="Calibri" w:cs="Calibri"/>
          <w:sz w:val="22"/>
          <w:szCs w:val="22"/>
        </w:rPr>
        <w:t>4</w:t>
      </w:r>
      <w:r w:rsidRPr="001348E3">
        <w:rPr>
          <w:rFonts w:ascii="Calibri" w:hAnsi="Calibri" w:cs="Calibri"/>
          <w:sz w:val="22"/>
          <w:szCs w:val="22"/>
        </w:rPr>
        <w:t xml:space="preserve">. Patel D, Ping L, Bauer A, </w:t>
      </w:r>
      <w:proofErr w:type="spellStart"/>
      <w:r w:rsidRPr="001348E3">
        <w:rPr>
          <w:rFonts w:ascii="Calibri" w:hAnsi="Calibri" w:cs="Calibri"/>
          <w:sz w:val="22"/>
          <w:szCs w:val="22"/>
        </w:rPr>
        <w:t>Castelo-Soccio</w:t>
      </w:r>
      <w:proofErr w:type="spellEnd"/>
      <w:r w:rsidRPr="001348E3">
        <w:rPr>
          <w:rFonts w:ascii="Calibri" w:hAnsi="Calibri" w:cs="Calibri"/>
          <w:sz w:val="22"/>
          <w:szCs w:val="22"/>
        </w:rPr>
        <w:t xml:space="preserve"> L. Screening </w:t>
      </w:r>
      <w:proofErr w:type="spellStart"/>
      <w:r w:rsidRPr="001348E3">
        <w:rPr>
          <w:rFonts w:ascii="Calibri" w:hAnsi="Calibri" w:cs="Calibri"/>
          <w:sz w:val="22"/>
          <w:szCs w:val="22"/>
        </w:rPr>
        <w:t>guidelines</w:t>
      </w:r>
      <w:proofErr w:type="spellEnd"/>
      <w:r w:rsidRPr="001348E3">
        <w:rPr>
          <w:rFonts w:ascii="Calibri" w:hAnsi="Calibri" w:cs="Calibri"/>
          <w:sz w:val="22"/>
          <w:szCs w:val="22"/>
        </w:rPr>
        <w:t xml:space="preserve"> </w:t>
      </w:r>
      <w:proofErr w:type="spellStart"/>
      <w:r w:rsidRPr="001348E3">
        <w:rPr>
          <w:rFonts w:ascii="Calibri" w:hAnsi="Calibri" w:cs="Calibri"/>
          <w:sz w:val="22"/>
          <w:szCs w:val="22"/>
        </w:rPr>
        <w:t>for</w:t>
      </w:r>
      <w:proofErr w:type="spellEnd"/>
      <w:r w:rsidRPr="001348E3">
        <w:rPr>
          <w:rFonts w:ascii="Calibri" w:hAnsi="Calibri" w:cs="Calibri"/>
          <w:sz w:val="22"/>
          <w:szCs w:val="22"/>
        </w:rPr>
        <w:t xml:space="preserve"> </w:t>
      </w:r>
      <w:proofErr w:type="spellStart"/>
      <w:r w:rsidRPr="001348E3">
        <w:rPr>
          <w:rFonts w:ascii="Calibri" w:hAnsi="Calibri" w:cs="Calibri"/>
          <w:sz w:val="22"/>
          <w:szCs w:val="22"/>
        </w:rPr>
        <w:t>thyroid</w:t>
      </w:r>
      <w:proofErr w:type="spellEnd"/>
      <w:r w:rsidRPr="001348E3">
        <w:rPr>
          <w:rFonts w:ascii="Calibri" w:hAnsi="Calibri" w:cs="Calibri"/>
          <w:sz w:val="22"/>
          <w:szCs w:val="22"/>
        </w:rPr>
        <w:t xml:space="preserve"> </w:t>
      </w:r>
      <w:proofErr w:type="spellStart"/>
      <w:r w:rsidRPr="001348E3">
        <w:rPr>
          <w:rFonts w:ascii="Calibri" w:hAnsi="Calibri" w:cs="Calibri"/>
          <w:sz w:val="22"/>
          <w:szCs w:val="22"/>
        </w:rPr>
        <w:t>function</w:t>
      </w:r>
      <w:proofErr w:type="spellEnd"/>
      <w:r w:rsidRPr="001348E3">
        <w:rPr>
          <w:rFonts w:ascii="Calibri" w:hAnsi="Calibri" w:cs="Calibri"/>
          <w:sz w:val="22"/>
          <w:szCs w:val="22"/>
        </w:rPr>
        <w:t xml:space="preserve"> in </w:t>
      </w:r>
      <w:proofErr w:type="spellStart"/>
      <w:r w:rsidRPr="001348E3">
        <w:rPr>
          <w:rFonts w:ascii="Calibri" w:hAnsi="Calibri" w:cs="Calibri"/>
          <w:sz w:val="22"/>
          <w:szCs w:val="22"/>
        </w:rPr>
        <w:t>children</w:t>
      </w:r>
      <w:proofErr w:type="spellEnd"/>
      <w:r w:rsidRPr="001348E3">
        <w:rPr>
          <w:rFonts w:ascii="Calibri" w:hAnsi="Calibri" w:cs="Calibri"/>
          <w:sz w:val="22"/>
          <w:szCs w:val="22"/>
        </w:rPr>
        <w:t xml:space="preserve"> </w:t>
      </w:r>
      <w:proofErr w:type="spellStart"/>
      <w:r w:rsidRPr="001348E3">
        <w:rPr>
          <w:rFonts w:ascii="Calibri" w:hAnsi="Calibri" w:cs="Calibri"/>
          <w:sz w:val="22"/>
          <w:szCs w:val="22"/>
        </w:rPr>
        <w:t>with</w:t>
      </w:r>
      <w:proofErr w:type="spellEnd"/>
      <w:r w:rsidRPr="001348E3">
        <w:rPr>
          <w:rFonts w:ascii="Calibri" w:hAnsi="Calibri" w:cs="Calibri"/>
          <w:sz w:val="22"/>
          <w:szCs w:val="22"/>
        </w:rPr>
        <w:t xml:space="preserve"> </w:t>
      </w:r>
      <w:proofErr w:type="spellStart"/>
      <w:r w:rsidRPr="001348E3">
        <w:rPr>
          <w:rFonts w:ascii="Calibri" w:hAnsi="Calibri" w:cs="Calibri"/>
          <w:sz w:val="22"/>
          <w:szCs w:val="22"/>
        </w:rPr>
        <w:t>alopecia</w:t>
      </w:r>
      <w:proofErr w:type="spellEnd"/>
      <w:r w:rsidRPr="001348E3">
        <w:rPr>
          <w:rFonts w:ascii="Calibri" w:hAnsi="Calibri" w:cs="Calibri"/>
          <w:sz w:val="22"/>
          <w:szCs w:val="22"/>
        </w:rPr>
        <w:t xml:space="preserve"> areata. JAMA </w:t>
      </w:r>
      <w:proofErr w:type="spellStart"/>
      <w:r w:rsidRPr="001348E3">
        <w:rPr>
          <w:rFonts w:ascii="Calibri" w:hAnsi="Calibri" w:cs="Calibri"/>
          <w:sz w:val="22"/>
          <w:szCs w:val="22"/>
        </w:rPr>
        <w:t>Dermatol</w:t>
      </w:r>
      <w:proofErr w:type="spellEnd"/>
      <w:r w:rsidRPr="001348E3">
        <w:rPr>
          <w:rFonts w:ascii="Calibri" w:hAnsi="Calibri" w:cs="Calibri"/>
          <w:sz w:val="22"/>
          <w:szCs w:val="22"/>
        </w:rPr>
        <w:t>. 2017;153(12):1307-1310</w:t>
      </w:r>
    </w:p>
    <w:p w:rsidR="00D1390E" w:rsidRPr="001348E3" w:rsidRDefault="00D1390E" w:rsidP="00D1390E">
      <w:pPr>
        <w:pStyle w:val="StandardWeb"/>
        <w:spacing w:before="0" w:beforeAutospacing="0" w:after="0" w:afterAutospacing="0"/>
        <w:rPr>
          <w:rFonts w:ascii="Calibri" w:hAnsi="Calibri" w:cs="Calibri"/>
          <w:sz w:val="22"/>
          <w:szCs w:val="22"/>
        </w:rPr>
      </w:pPr>
      <w:r w:rsidRPr="001348E3">
        <w:rPr>
          <w:rFonts w:ascii="Calibri" w:hAnsi="Calibri" w:cs="Calibri"/>
          <w:sz w:val="22"/>
          <w:szCs w:val="22"/>
        </w:rPr>
        <w:t>1</w:t>
      </w:r>
      <w:r w:rsidR="00BA4B40" w:rsidRPr="001348E3">
        <w:rPr>
          <w:rFonts w:ascii="Calibri" w:hAnsi="Calibri" w:cs="Calibri"/>
          <w:sz w:val="22"/>
          <w:szCs w:val="22"/>
        </w:rPr>
        <w:t>5</w:t>
      </w:r>
      <w:r w:rsidRPr="001348E3">
        <w:rPr>
          <w:rFonts w:ascii="Calibri" w:hAnsi="Calibri" w:cs="Calibri"/>
          <w:sz w:val="22"/>
          <w:szCs w:val="22"/>
        </w:rPr>
        <w:t xml:space="preserve">. </w:t>
      </w:r>
      <w:proofErr w:type="spellStart"/>
      <w:r w:rsidRPr="001348E3">
        <w:rPr>
          <w:rFonts w:ascii="Calibri" w:hAnsi="Calibri" w:cs="Calibri"/>
          <w:sz w:val="22"/>
          <w:szCs w:val="22"/>
        </w:rPr>
        <w:t>Kinoshita</w:t>
      </w:r>
      <w:proofErr w:type="spellEnd"/>
      <w:r w:rsidRPr="001348E3">
        <w:rPr>
          <w:rFonts w:ascii="Calibri" w:hAnsi="Calibri" w:cs="Calibri"/>
          <w:sz w:val="22"/>
          <w:szCs w:val="22"/>
        </w:rPr>
        <w:t>-Ise, M; Martinez-</w:t>
      </w:r>
      <w:proofErr w:type="spellStart"/>
      <w:r w:rsidRPr="001348E3">
        <w:rPr>
          <w:rFonts w:ascii="Calibri" w:hAnsi="Calibri" w:cs="Calibri"/>
          <w:sz w:val="22"/>
          <w:szCs w:val="22"/>
        </w:rPr>
        <w:t>Cabriales</w:t>
      </w:r>
      <w:proofErr w:type="spellEnd"/>
      <w:r w:rsidRPr="001348E3">
        <w:rPr>
          <w:rFonts w:ascii="Calibri" w:hAnsi="Calibri" w:cs="Calibri"/>
          <w:sz w:val="22"/>
          <w:szCs w:val="22"/>
        </w:rPr>
        <w:t xml:space="preserve"> S &amp; </w:t>
      </w:r>
      <w:proofErr w:type="spellStart"/>
      <w:r w:rsidRPr="001348E3">
        <w:rPr>
          <w:rFonts w:ascii="Calibri" w:hAnsi="Calibri" w:cs="Calibri"/>
          <w:sz w:val="22"/>
          <w:szCs w:val="22"/>
        </w:rPr>
        <w:t>Alhusayen</w:t>
      </w:r>
      <w:proofErr w:type="spellEnd"/>
      <w:r w:rsidRPr="001348E3">
        <w:rPr>
          <w:rFonts w:ascii="Calibri" w:hAnsi="Calibri" w:cs="Calibri"/>
          <w:sz w:val="22"/>
          <w:szCs w:val="22"/>
        </w:rPr>
        <w:t xml:space="preserve">, R. </w:t>
      </w:r>
      <w:proofErr w:type="spellStart"/>
      <w:r w:rsidRPr="001348E3">
        <w:rPr>
          <w:rFonts w:ascii="Calibri" w:hAnsi="Calibri" w:cs="Calibri"/>
          <w:sz w:val="22"/>
          <w:szCs w:val="22"/>
        </w:rPr>
        <w:t>Chronological</w:t>
      </w:r>
      <w:proofErr w:type="spellEnd"/>
      <w:r w:rsidRPr="001348E3">
        <w:rPr>
          <w:rFonts w:ascii="Calibri" w:hAnsi="Calibri" w:cs="Calibri"/>
          <w:sz w:val="22"/>
          <w:szCs w:val="22"/>
        </w:rPr>
        <w:t xml:space="preserve"> </w:t>
      </w:r>
      <w:proofErr w:type="spellStart"/>
      <w:r w:rsidRPr="001348E3">
        <w:rPr>
          <w:rFonts w:ascii="Calibri" w:hAnsi="Calibri" w:cs="Calibri"/>
          <w:sz w:val="22"/>
          <w:szCs w:val="22"/>
        </w:rPr>
        <w:t>association</w:t>
      </w:r>
      <w:proofErr w:type="spellEnd"/>
      <w:r w:rsidRPr="001348E3">
        <w:rPr>
          <w:rFonts w:ascii="Calibri" w:hAnsi="Calibri" w:cs="Calibri"/>
          <w:sz w:val="22"/>
          <w:szCs w:val="22"/>
        </w:rPr>
        <w:t xml:space="preserve"> </w:t>
      </w:r>
      <w:proofErr w:type="spellStart"/>
      <w:r w:rsidRPr="001348E3">
        <w:rPr>
          <w:rFonts w:ascii="Calibri" w:hAnsi="Calibri" w:cs="Calibri"/>
          <w:sz w:val="22"/>
          <w:szCs w:val="22"/>
        </w:rPr>
        <w:t>between</w:t>
      </w:r>
      <w:proofErr w:type="spellEnd"/>
      <w:r w:rsidRPr="001348E3">
        <w:rPr>
          <w:rFonts w:ascii="Calibri" w:hAnsi="Calibri" w:cs="Calibri"/>
          <w:sz w:val="22"/>
          <w:szCs w:val="22"/>
        </w:rPr>
        <w:t xml:space="preserve"> </w:t>
      </w:r>
      <w:proofErr w:type="spellStart"/>
      <w:r w:rsidRPr="001348E3">
        <w:rPr>
          <w:rFonts w:ascii="Calibri" w:hAnsi="Calibri" w:cs="Calibri"/>
          <w:sz w:val="22"/>
          <w:szCs w:val="22"/>
        </w:rPr>
        <w:t>alopecia</w:t>
      </w:r>
      <w:proofErr w:type="spellEnd"/>
      <w:r w:rsidRPr="001348E3">
        <w:rPr>
          <w:rFonts w:ascii="Calibri" w:hAnsi="Calibri" w:cs="Calibri"/>
          <w:sz w:val="22"/>
          <w:szCs w:val="22"/>
        </w:rPr>
        <w:t xml:space="preserve"> areata and autoimmune </w:t>
      </w:r>
      <w:proofErr w:type="spellStart"/>
      <w:r w:rsidRPr="001348E3">
        <w:rPr>
          <w:rFonts w:ascii="Calibri" w:hAnsi="Calibri" w:cs="Calibri"/>
          <w:sz w:val="22"/>
          <w:szCs w:val="22"/>
        </w:rPr>
        <w:t>thyroid</w:t>
      </w:r>
      <w:proofErr w:type="spellEnd"/>
      <w:r w:rsidRPr="001348E3">
        <w:rPr>
          <w:rFonts w:ascii="Calibri" w:hAnsi="Calibri" w:cs="Calibri"/>
          <w:sz w:val="22"/>
          <w:szCs w:val="22"/>
        </w:rPr>
        <w:t xml:space="preserve"> </w:t>
      </w:r>
      <w:proofErr w:type="spellStart"/>
      <w:r w:rsidRPr="001348E3">
        <w:rPr>
          <w:rFonts w:ascii="Calibri" w:hAnsi="Calibri" w:cs="Calibri"/>
          <w:sz w:val="22"/>
          <w:szCs w:val="22"/>
        </w:rPr>
        <w:t>disease</w:t>
      </w:r>
      <w:proofErr w:type="spellEnd"/>
      <w:r w:rsidRPr="001348E3">
        <w:rPr>
          <w:rFonts w:ascii="Calibri" w:hAnsi="Calibri" w:cs="Calibri"/>
          <w:sz w:val="22"/>
          <w:szCs w:val="22"/>
        </w:rPr>
        <w:t xml:space="preserve">: a </w:t>
      </w:r>
      <w:proofErr w:type="spellStart"/>
      <w:r w:rsidRPr="001348E3">
        <w:rPr>
          <w:rFonts w:ascii="Calibri" w:hAnsi="Calibri" w:cs="Calibri"/>
          <w:sz w:val="22"/>
          <w:szCs w:val="22"/>
        </w:rPr>
        <w:t>systematic</w:t>
      </w:r>
      <w:proofErr w:type="spellEnd"/>
      <w:r w:rsidRPr="001348E3">
        <w:rPr>
          <w:rFonts w:ascii="Calibri" w:hAnsi="Calibri" w:cs="Calibri"/>
          <w:sz w:val="22"/>
          <w:szCs w:val="22"/>
        </w:rPr>
        <w:t xml:space="preserve"> review and meta-analysis. J </w:t>
      </w:r>
      <w:proofErr w:type="spellStart"/>
      <w:r w:rsidRPr="001348E3">
        <w:rPr>
          <w:rFonts w:ascii="Calibri" w:hAnsi="Calibri" w:cs="Calibri"/>
          <w:sz w:val="22"/>
          <w:szCs w:val="22"/>
        </w:rPr>
        <w:t>Dermatol</w:t>
      </w:r>
      <w:proofErr w:type="spellEnd"/>
      <w:r w:rsidR="006007E8" w:rsidRPr="001348E3">
        <w:rPr>
          <w:rFonts w:ascii="Calibri" w:hAnsi="Calibri" w:cs="Calibri"/>
          <w:sz w:val="22"/>
          <w:szCs w:val="22"/>
        </w:rPr>
        <w:t xml:space="preserve"> </w:t>
      </w:r>
      <w:r w:rsidRPr="001348E3">
        <w:rPr>
          <w:rFonts w:ascii="Calibri" w:hAnsi="Calibri" w:cs="Calibri"/>
          <w:sz w:val="22"/>
          <w:szCs w:val="22"/>
        </w:rPr>
        <w:t>2019; Aug 46(8): 702-709.</w:t>
      </w:r>
    </w:p>
    <w:p w:rsidR="00BA4B40" w:rsidRPr="001348E3" w:rsidRDefault="00755B5D" w:rsidP="00755B5D">
      <w:pPr>
        <w:pStyle w:val="StandardWeb"/>
        <w:spacing w:before="0" w:beforeAutospacing="0" w:after="0" w:afterAutospacing="0"/>
        <w:rPr>
          <w:rFonts w:ascii="Calibri" w:hAnsi="Calibri" w:cs="Calibri"/>
          <w:sz w:val="22"/>
          <w:szCs w:val="22"/>
        </w:rPr>
      </w:pPr>
      <w:r w:rsidRPr="001348E3">
        <w:rPr>
          <w:rFonts w:ascii="Calibri" w:hAnsi="Calibri" w:cs="Calibri"/>
          <w:sz w:val="22"/>
          <w:szCs w:val="22"/>
        </w:rPr>
        <w:t xml:space="preserve">16. </w:t>
      </w:r>
      <w:r w:rsidR="00BA4B40" w:rsidRPr="001348E3">
        <w:rPr>
          <w:rFonts w:ascii="Calibri" w:hAnsi="Calibri" w:cs="Calibri"/>
          <w:sz w:val="22"/>
          <w:szCs w:val="22"/>
        </w:rPr>
        <w:t xml:space="preserve">NCCN Clinical Practice Guidelines in </w:t>
      </w:r>
      <w:proofErr w:type="spellStart"/>
      <w:r w:rsidR="00BA4B40" w:rsidRPr="001348E3">
        <w:rPr>
          <w:rFonts w:ascii="Calibri" w:hAnsi="Calibri" w:cs="Calibri"/>
          <w:sz w:val="22"/>
          <w:szCs w:val="22"/>
        </w:rPr>
        <w:t>Oncology</w:t>
      </w:r>
      <w:proofErr w:type="spellEnd"/>
      <w:r w:rsidR="00BA4B40" w:rsidRPr="001348E3">
        <w:rPr>
          <w:rFonts w:ascii="Calibri" w:hAnsi="Calibri" w:cs="Calibri"/>
          <w:sz w:val="22"/>
          <w:szCs w:val="22"/>
        </w:rPr>
        <w:t xml:space="preserve">. Basal </w:t>
      </w:r>
      <w:proofErr w:type="spellStart"/>
      <w:r w:rsidR="00BA4B40" w:rsidRPr="001348E3">
        <w:rPr>
          <w:rFonts w:ascii="Calibri" w:hAnsi="Calibri" w:cs="Calibri"/>
          <w:sz w:val="22"/>
          <w:szCs w:val="22"/>
        </w:rPr>
        <w:t>Cell</w:t>
      </w:r>
      <w:proofErr w:type="spellEnd"/>
      <w:r w:rsidR="00BA4B40" w:rsidRPr="001348E3">
        <w:rPr>
          <w:rFonts w:ascii="Calibri" w:hAnsi="Calibri" w:cs="Calibri"/>
          <w:sz w:val="22"/>
          <w:szCs w:val="22"/>
        </w:rPr>
        <w:t xml:space="preserve"> Skin Cancer. Version 2. https://www.nccn.org/professionals/physician_gls/pdf/nmsc.pdf. </w:t>
      </w:r>
      <w:proofErr w:type="spellStart"/>
      <w:r w:rsidR="00BA4B40" w:rsidRPr="001348E3">
        <w:rPr>
          <w:rFonts w:ascii="Calibri" w:hAnsi="Calibri" w:cs="Calibri"/>
          <w:sz w:val="22"/>
          <w:szCs w:val="22"/>
        </w:rPr>
        <w:t>Published</w:t>
      </w:r>
      <w:proofErr w:type="spellEnd"/>
      <w:r w:rsidR="00BA4B40" w:rsidRPr="001348E3">
        <w:rPr>
          <w:rFonts w:ascii="Calibri" w:hAnsi="Calibri" w:cs="Calibri"/>
          <w:sz w:val="22"/>
          <w:szCs w:val="22"/>
        </w:rPr>
        <w:t xml:space="preserve"> 2021. Updated 2/25/2021. </w:t>
      </w:r>
      <w:proofErr w:type="spellStart"/>
      <w:r w:rsidR="00BA4B40" w:rsidRPr="001348E3">
        <w:rPr>
          <w:rFonts w:ascii="Calibri" w:hAnsi="Calibri" w:cs="Calibri"/>
          <w:sz w:val="22"/>
          <w:szCs w:val="22"/>
        </w:rPr>
        <w:t>Accessed</w:t>
      </w:r>
      <w:proofErr w:type="spellEnd"/>
      <w:r w:rsidR="00BA4B40" w:rsidRPr="001348E3">
        <w:rPr>
          <w:rFonts w:ascii="Calibri" w:hAnsi="Calibri" w:cs="Calibri"/>
          <w:sz w:val="22"/>
          <w:szCs w:val="22"/>
        </w:rPr>
        <w:t xml:space="preserve"> 3/5/2021.</w:t>
      </w:r>
    </w:p>
    <w:p w:rsidR="00BA4B40" w:rsidRPr="001348E3" w:rsidRDefault="00755B5D" w:rsidP="00755B5D">
      <w:pPr>
        <w:pStyle w:val="StandardWeb"/>
        <w:spacing w:before="0" w:beforeAutospacing="0" w:after="0" w:afterAutospacing="0"/>
        <w:rPr>
          <w:rFonts w:ascii="Calibri" w:hAnsi="Calibri" w:cs="Calibri"/>
          <w:sz w:val="22"/>
          <w:szCs w:val="22"/>
        </w:rPr>
      </w:pPr>
      <w:r w:rsidRPr="001348E3">
        <w:rPr>
          <w:rFonts w:ascii="Calibri" w:hAnsi="Calibri" w:cs="Calibri"/>
          <w:sz w:val="22"/>
          <w:szCs w:val="22"/>
        </w:rPr>
        <w:t xml:space="preserve">17. </w:t>
      </w:r>
      <w:r w:rsidR="00BA4B40" w:rsidRPr="001348E3">
        <w:rPr>
          <w:rFonts w:ascii="Calibri" w:hAnsi="Calibri" w:cs="Calibri"/>
          <w:sz w:val="22"/>
          <w:szCs w:val="22"/>
        </w:rPr>
        <w:t xml:space="preserve">NCCN Clinical Practice Guidelines in </w:t>
      </w:r>
      <w:proofErr w:type="spellStart"/>
      <w:r w:rsidR="00BA4B40" w:rsidRPr="001348E3">
        <w:rPr>
          <w:rFonts w:ascii="Calibri" w:hAnsi="Calibri" w:cs="Calibri"/>
          <w:sz w:val="22"/>
          <w:szCs w:val="22"/>
        </w:rPr>
        <w:t>Oncology</w:t>
      </w:r>
      <w:proofErr w:type="spellEnd"/>
      <w:r w:rsidR="00BA4B40" w:rsidRPr="001348E3">
        <w:rPr>
          <w:rFonts w:ascii="Calibri" w:hAnsi="Calibri" w:cs="Calibri"/>
          <w:sz w:val="22"/>
          <w:szCs w:val="22"/>
        </w:rPr>
        <w:t xml:space="preserve">. </w:t>
      </w:r>
      <w:proofErr w:type="spellStart"/>
      <w:r w:rsidR="00BA4B40" w:rsidRPr="001348E3">
        <w:rPr>
          <w:rFonts w:ascii="Calibri" w:hAnsi="Calibri" w:cs="Calibri"/>
          <w:sz w:val="22"/>
          <w:szCs w:val="22"/>
        </w:rPr>
        <w:t>Squamous</w:t>
      </w:r>
      <w:proofErr w:type="spellEnd"/>
      <w:r w:rsidR="00BA4B40" w:rsidRPr="001348E3">
        <w:rPr>
          <w:rFonts w:ascii="Calibri" w:hAnsi="Calibri" w:cs="Calibri"/>
          <w:sz w:val="22"/>
          <w:szCs w:val="22"/>
        </w:rPr>
        <w:t xml:space="preserve"> </w:t>
      </w:r>
      <w:proofErr w:type="spellStart"/>
      <w:r w:rsidR="00BA4B40" w:rsidRPr="001348E3">
        <w:rPr>
          <w:rFonts w:ascii="Calibri" w:hAnsi="Calibri" w:cs="Calibri"/>
          <w:sz w:val="22"/>
          <w:szCs w:val="22"/>
        </w:rPr>
        <w:t>Cell</w:t>
      </w:r>
      <w:proofErr w:type="spellEnd"/>
      <w:r w:rsidR="00BA4B40" w:rsidRPr="001348E3">
        <w:rPr>
          <w:rFonts w:ascii="Calibri" w:hAnsi="Calibri" w:cs="Calibri"/>
          <w:sz w:val="22"/>
          <w:szCs w:val="22"/>
        </w:rPr>
        <w:t xml:space="preserve"> Skin Cancer. Version 1. https://www.nccn.org/professionals/physician_gls/pdf/squamous.pdf. </w:t>
      </w:r>
      <w:proofErr w:type="spellStart"/>
      <w:r w:rsidR="00BA4B40" w:rsidRPr="001348E3">
        <w:rPr>
          <w:rFonts w:ascii="Calibri" w:hAnsi="Calibri" w:cs="Calibri"/>
          <w:sz w:val="22"/>
          <w:szCs w:val="22"/>
        </w:rPr>
        <w:t>Published</w:t>
      </w:r>
      <w:proofErr w:type="spellEnd"/>
      <w:r w:rsidR="00BA4B40" w:rsidRPr="001348E3">
        <w:rPr>
          <w:rFonts w:ascii="Calibri" w:hAnsi="Calibri" w:cs="Calibri"/>
          <w:sz w:val="22"/>
          <w:szCs w:val="22"/>
        </w:rPr>
        <w:t xml:space="preserve"> 2021. Updated</w:t>
      </w:r>
      <w:r w:rsidR="00BA4B40" w:rsidRPr="001348E3">
        <w:rPr>
          <w:rFonts w:ascii="Calibri" w:hAnsi="Calibri" w:cs="Calibri"/>
          <w:sz w:val="22"/>
          <w:szCs w:val="22"/>
        </w:rPr>
        <w:br/>
        <w:t xml:space="preserve">2/5/2021. </w:t>
      </w:r>
      <w:proofErr w:type="spellStart"/>
      <w:r w:rsidR="00BA4B40" w:rsidRPr="001348E3">
        <w:rPr>
          <w:rFonts w:ascii="Calibri" w:hAnsi="Calibri" w:cs="Calibri"/>
          <w:sz w:val="22"/>
          <w:szCs w:val="22"/>
        </w:rPr>
        <w:t>Accessed</w:t>
      </w:r>
      <w:proofErr w:type="spellEnd"/>
      <w:r w:rsidR="00BA4B40" w:rsidRPr="001348E3">
        <w:rPr>
          <w:rFonts w:ascii="Calibri" w:hAnsi="Calibri" w:cs="Calibri"/>
          <w:sz w:val="22"/>
          <w:szCs w:val="22"/>
        </w:rPr>
        <w:t xml:space="preserve"> 3/5/202</w:t>
      </w:r>
    </w:p>
    <w:p w:rsidR="00DC2738" w:rsidRPr="001348E3" w:rsidRDefault="00AB1CED" w:rsidP="00D96F09">
      <w:pPr>
        <w:suppressAutoHyphens w:val="0"/>
        <w:autoSpaceDE w:val="0"/>
        <w:autoSpaceDN w:val="0"/>
        <w:adjustRightInd w:val="0"/>
        <w:jc w:val="left"/>
        <w:rPr>
          <w:rFonts w:ascii="Calibri" w:hAnsi="Calibri" w:cs="Calibri"/>
          <w:sz w:val="22"/>
          <w:szCs w:val="22"/>
        </w:rPr>
      </w:pPr>
      <w:r w:rsidRPr="001348E3">
        <w:rPr>
          <w:rFonts w:ascii="Calibri" w:hAnsi="Calibri" w:cs="Calibri"/>
          <w:sz w:val="22"/>
          <w:szCs w:val="22"/>
        </w:rPr>
        <w:t xml:space="preserve">18. </w:t>
      </w:r>
      <w:r w:rsidR="00D96F09" w:rsidRPr="001348E3">
        <w:rPr>
          <w:rFonts w:ascii="Calibri" w:hAnsi="Calibri" w:cs="Calibri"/>
          <w:sz w:val="22"/>
          <w:szCs w:val="22"/>
        </w:rPr>
        <w:t xml:space="preserve">Saha, S., </w:t>
      </w:r>
      <w:proofErr w:type="spellStart"/>
      <w:r w:rsidR="00D96F09" w:rsidRPr="001348E3">
        <w:rPr>
          <w:rFonts w:ascii="Calibri" w:hAnsi="Calibri" w:cs="Calibri"/>
          <w:sz w:val="22"/>
          <w:szCs w:val="22"/>
        </w:rPr>
        <w:t>Laforsch</w:t>
      </w:r>
      <w:proofErr w:type="spellEnd"/>
      <w:r w:rsidR="00D96F09" w:rsidRPr="001348E3">
        <w:rPr>
          <w:rFonts w:ascii="Calibri" w:hAnsi="Calibri" w:cs="Calibri"/>
          <w:sz w:val="22"/>
          <w:szCs w:val="22"/>
        </w:rPr>
        <w:t xml:space="preserve">, C., </w:t>
      </w:r>
      <w:proofErr w:type="spellStart"/>
      <w:r w:rsidR="00D96F09" w:rsidRPr="001348E3">
        <w:rPr>
          <w:rFonts w:ascii="Calibri" w:hAnsi="Calibri" w:cs="Calibri"/>
          <w:sz w:val="22"/>
          <w:szCs w:val="22"/>
        </w:rPr>
        <w:t>Ramsperger</w:t>
      </w:r>
      <w:proofErr w:type="spellEnd"/>
      <w:r w:rsidR="00D96F09" w:rsidRPr="001348E3">
        <w:rPr>
          <w:rFonts w:ascii="Calibri" w:hAnsi="Calibri" w:cs="Calibri"/>
          <w:sz w:val="22"/>
          <w:szCs w:val="22"/>
        </w:rPr>
        <w:t xml:space="preserve">, A. </w:t>
      </w:r>
      <w:r w:rsidR="00D96F09" w:rsidRPr="001348E3">
        <w:rPr>
          <w:rFonts w:ascii="Calibri" w:hAnsi="Calibri" w:cs="Calibri"/>
          <w:i/>
          <w:iCs/>
          <w:sz w:val="22"/>
          <w:szCs w:val="22"/>
        </w:rPr>
        <w:t>et al.</w:t>
      </w:r>
      <w:r w:rsidR="00D96F09" w:rsidRPr="001348E3">
        <w:rPr>
          <w:rFonts w:ascii="Calibri" w:hAnsi="Calibri" w:cs="Calibri"/>
          <w:sz w:val="22"/>
          <w:szCs w:val="22"/>
        </w:rPr>
        <w:t xml:space="preserve"> Mikroplastik und dermatologische Versorgung. </w:t>
      </w:r>
      <w:r w:rsidR="00D96F09" w:rsidRPr="001348E3">
        <w:rPr>
          <w:rFonts w:ascii="Calibri" w:hAnsi="Calibri" w:cs="Calibri"/>
          <w:i/>
          <w:iCs/>
          <w:sz w:val="22"/>
          <w:szCs w:val="22"/>
        </w:rPr>
        <w:t>Dermatologie</w:t>
      </w:r>
      <w:r w:rsidR="00D96F09" w:rsidRPr="001348E3">
        <w:rPr>
          <w:rFonts w:ascii="Calibri" w:hAnsi="Calibri" w:cs="Calibri"/>
          <w:sz w:val="22"/>
          <w:szCs w:val="22"/>
        </w:rPr>
        <w:t xml:space="preserve"> (2022). https://doi.org/10.1007/s00105-022-05035-z</w:t>
      </w:r>
    </w:p>
    <w:p w:rsidR="007C70CB" w:rsidRPr="001348E3" w:rsidRDefault="00F526BF" w:rsidP="001F724F">
      <w:pPr>
        <w:pStyle w:val="StandardWeb"/>
        <w:spacing w:before="0" w:beforeAutospacing="0" w:after="0" w:afterAutospacing="0"/>
        <w:rPr>
          <w:rFonts w:ascii="Calibri" w:hAnsi="Calibri" w:cs="Calibri"/>
          <w:sz w:val="22"/>
          <w:szCs w:val="22"/>
        </w:rPr>
      </w:pPr>
      <w:r>
        <w:rPr>
          <w:rFonts w:ascii="Calibri" w:hAnsi="Calibri" w:cs="Calibri"/>
          <w:sz w:val="22"/>
          <w:szCs w:val="22"/>
        </w:rPr>
        <w:t xml:space="preserve">19. </w:t>
      </w:r>
      <w:r w:rsidRPr="00F526BF">
        <w:rPr>
          <w:rFonts w:ascii="Calibri" w:hAnsi="Calibri" w:cs="Calibri"/>
          <w:sz w:val="22"/>
          <w:szCs w:val="22"/>
        </w:rPr>
        <w:t>https://www.awmf.org/leitlinien/detail/ll/053-059.html</w:t>
      </w:r>
    </w:p>
    <w:p w:rsidR="00240FE0" w:rsidRPr="001348E3" w:rsidRDefault="00240FE0" w:rsidP="00240FE0">
      <w:pPr>
        <w:suppressAutoHyphens w:val="0"/>
        <w:jc w:val="left"/>
        <w:rPr>
          <w:rFonts w:ascii="Calibri" w:hAnsi="Calibri" w:cs="Calibri"/>
          <w:kern w:val="0"/>
          <w:sz w:val="22"/>
          <w:szCs w:val="22"/>
          <w:lang w:eastAsia="de-DE"/>
        </w:rPr>
      </w:pPr>
      <w:r w:rsidRPr="001348E3">
        <w:rPr>
          <w:rFonts w:ascii="Calibri" w:hAnsi="Calibri" w:cs="Calibri"/>
          <w:sz w:val="22"/>
          <w:szCs w:val="22"/>
        </w:rPr>
        <w:t xml:space="preserve">20. </w:t>
      </w:r>
      <w:proofErr w:type="spellStart"/>
      <w:r w:rsidRPr="001348E3">
        <w:rPr>
          <w:rFonts w:ascii="Calibri" w:hAnsi="Calibri" w:cs="Calibri"/>
          <w:kern w:val="0"/>
          <w:sz w:val="22"/>
          <w:szCs w:val="22"/>
          <w:lang w:eastAsia="de-DE"/>
        </w:rPr>
        <w:t>Parolini</w:t>
      </w:r>
      <w:proofErr w:type="spellEnd"/>
      <w:r w:rsidRPr="001348E3">
        <w:rPr>
          <w:rFonts w:ascii="Calibri" w:hAnsi="Calibri" w:cs="Calibri"/>
          <w:kern w:val="0"/>
          <w:sz w:val="22"/>
          <w:szCs w:val="22"/>
          <w:lang w:eastAsia="de-DE"/>
        </w:rPr>
        <w:t xml:space="preserve"> M. </w:t>
      </w:r>
      <w:proofErr w:type="spellStart"/>
      <w:r w:rsidRPr="001348E3">
        <w:rPr>
          <w:rFonts w:ascii="Calibri" w:hAnsi="Calibri" w:cs="Calibri"/>
          <w:kern w:val="0"/>
          <w:sz w:val="22"/>
          <w:szCs w:val="22"/>
          <w:lang w:eastAsia="de-DE"/>
        </w:rPr>
        <w:t>Toxicity</w:t>
      </w:r>
      <w:proofErr w:type="spellEnd"/>
      <w:r w:rsidRPr="001348E3">
        <w:rPr>
          <w:rFonts w:ascii="Calibri" w:hAnsi="Calibri" w:cs="Calibri"/>
          <w:kern w:val="0"/>
          <w:sz w:val="22"/>
          <w:szCs w:val="22"/>
          <w:lang w:eastAsia="de-DE"/>
        </w:rPr>
        <w:t xml:space="preserve"> </w:t>
      </w:r>
      <w:proofErr w:type="spellStart"/>
      <w:r w:rsidRPr="001348E3">
        <w:rPr>
          <w:rFonts w:ascii="Calibri" w:hAnsi="Calibri" w:cs="Calibri"/>
          <w:kern w:val="0"/>
          <w:sz w:val="22"/>
          <w:szCs w:val="22"/>
          <w:lang w:eastAsia="de-DE"/>
        </w:rPr>
        <w:t>of</w:t>
      </w:r>
      <w:proofErr w:type="spellEnd"/>
      <w:r w:rsidRPr="001348E3">
        <w:rPr>
          <w:rFonts w:ascii="Calibri" w:hAnsi="Calibri" w:cs="Calibri"/>
          <w:kern w:val="0"/>
          <w:sz w:val="22"/>
          <w:szCs w:val="22"/>
          <w:lang w:eastAsia="de-DE"/>
        </w:rPr>
        <w:t xml:space="preserve"> </w:t>
      </w:r>
      <w:proofErr w:type="spellStart"/>
      <w:r w:rsidRPr="001348E3">
        <w:rPr>
          <w:rFonts w:ascii="Calibri" w:hAnsi="Calibri" w:cs="Calibri"/>
          <w:kern w:val="0"/>
          <w:sz w:val="22"/>
          <w:szCs w:val="22"/>
          <w:lang w:eastAsia="de-DE"/>
        </w:rPr>
        <w:t>the</w:t>
      </w:r>
      <w:proofErr w:type="spellEnd"/>
      <w:r w:rsidRPr="001348E3">
        <w:rPr>
          <w:rFonts w:ascii="Calibri" w:hAnsi="Calibri" w:cs="Calibri"/>
          <w:kern w:val="0"/>
          <w:sz w:val="22"/>
          <w:szCs w:val="22"/>
          <w:lang w:eastAsia="de-DE"/>
        </w:rPr>
        <w:t xml:space="preserve"> Non-Steroidal Anti-</w:t>
      </w:r>
      <w:proofErr w:type="spellStart"/>
      <w:r w:rsidRPr="001348E3">
        <w:rPr>
          <w:rFonts w:ascii="Calibri" w:hAnsi="Calibri" w:cs="Calibri"/>
          <w:kern w:val="0"/>
          <w:sz w:val="22"/>
          <w:szCs w:val="22"/>
          <w:lang w:eastAsia="de-DE"/>
        </w:rPr>
        <w:t>Inflammatory</w:t>
      </w:r>
      <w:proofErr w:type="spellEnd"/>
      <w:r w:rsidRPr="001348E3">
        <w:rPr>
          <w:rFonts w:ascii="Calibri" w:hAnsi="Calibri" w:cs="Calibri"/>
          <w:kern w:val="0"/>
          <w:sz w:val="22"/>
          <w:szCs w:val="22"/>
          <w:lang w:eastAsia="de-DE"/>
        </w:rPr>
        <w:t xml:space="preserve"> Drugs (NSAIDs) </w:t>
      </w:r>
      <w:proofErr w:type="spellStart"/>
      <w:r w:rsidRPr="001348E3">
        <w:rPr>
          <w:rFonts w:ascii="Calibri" w:hAnsi="Calibri" w:cs="Calibri"/>
          <w:kern w:val="0"/>
          <w:sz w:val="22"/>
          <w:szCs w:val="22"/>
          <w:lang w:eastAsia="de-DE"/>
        </w:rPr>
        <w:t>acetylsalicylic</w:t>
      </w:r>
      <w:proofErr w:type="spellEnd"/>
      <w:r w:rsidRPr="001348E3">
        <w:rPr>
          <w:rFonts w:ascii="Calibri" w:hAnsi="Calibri" w:cs="Calibri"/>
          <w:kern w:val="0"/>
          <w:sz w:val="22"/>
          <w:szCs w:val="22"/>
          <w:lang w:eastAsia="de-DE"/>
        </w:rPr>
        <w:t xml:space="preserve"> </w:t>
      </w:r>
      <w:proofErr w:type="spellStart"/>
      <w:r w:rsidRPr="001348E3">
        <w:rPr>
          <w:rFonts w:ascii="Calibri" w:hAnsi="Calibri" w:cs="Calibri"/>
          <w:kern w:val="0"/>
          <w:sz w:val="22"/>
          <w:szCs w:val="22"/>
          <w:lang w:eastAsia="de-DE"/>
        </w:rPr>
        <w:t>acid</w:t>
      </w:r>
      <w:proofErr w:type="spellEnd"/>
      <w:r w:rsidRPr="001348E3">
        <w:rPr>
          <w:rFonts w:ascii="Calibri" w:hAnsi="Calibri" w:cs="Calibri"/>
          <w:kern w:val="0"/>
          <w:sz w:val="22"/>
          <w:szCs w:val="22"/>
          <w:lang w:eastAsia="de-DE"/>
        </w:rPr>
        <w:t xml:space="preserve">, </w:t>
      </w:r>
      <w:proofErr w:type="spellStart"/>
      <w:r w:rsidRPr="001348E3">
        <w:rPr>
          <w:rFonts w:ascii="Calibri" w:hAnsi="Calibri" w:cs="Calibri"/>
          <w:kern w:val="0"/>
          <w:sz w:val="22"/>
          <w:szCs w:val="22"/>
          <w:lang w:eastAsia="de-DE"/>
        </w:rPr>
        <w:t>paracetamol</w:t>
      </w:r>
      <w:proofErr w:type="spellEnd"/>
      <w:r w:rsidRPr="001348E3">
        <w:rPr>
          <w:rFonts w:ascii="Calibri" w:hAnsi="Calibri" w:cs="Calibri"/>
          <w:kern w:val="0"/>
          <w:sz w:val="22"/>
          <w:szCs w:val="22"/>
          <w:lang w:eastAsia="de-DE"/>
        </w:rPr>
        <w:t xml:space="preserve">, </w:t>
      </w:r>
      <w:proofErr w:type="spellStart"/>
      <w:r w:rsidRPr="001348E3">
        <w:rPr>
          <w:rFonts w:ascii="Calibri" w:hAnsi="Calibri" w:cs="Calibri"/>
          <w:kern w:val="0"/>
          <w:sz w:val="22"/>
          <w:szCs w:val="22"/>
          <w:lang w:eastAsia="de-DE"/>
        </w:rPr>
        <w:t>diclofenac</w:t>
      </w:r>
      <w:proofErr w:type="spellEnd"/>
      <w:r w:rsidRPr="001348E3">
        <w:rPr>
          <w:rFonts w:ascii="Calibri" w:hAnsi="Calibri" w:cs="Calibri"/>
          <w:kern w:val="0"/>
          <w:sz w:val="22"/>
          <w:szCs w:val="22"/>
          <w:lang w:eastAsia="de-DE"/>
        </w:rPr>
        <w:t xml:space="preserve">, </w:t>
      </w:r>
      <w:proofErr w:type="spellStart"/>
      <w:r w:rsidRPr="001348E3">
        <w:rPr>
          <w:rFonts w:ascii="Calibri" w:hAnsi="Calibri" w:cs="Calibri"/>
          <w:kern w:val="0"/>
          <w:sz w:val="22"/>
          <w:szCs w:val="22"/>
          <w:lang w:eastAsia="de-DE"/>
        </w:rPr>
        <w:t>ibuprofen</w:t>
      </w:r>
      <w:proofErr w:type="spellEnd"/>
      <w:r w:rsidRPr="001348E3">
        <w:rPr>
          <w:rFonts w:ascii="Calibri" w:hAnsi="Calibri" w:cs="Calibri"/>
          <w:kern w:val="0"/>
          <w:sz w:val="22"/>
          <w:szCs w:val="22"/>
          <w:lang w:eastAsia="de-DE"/>
        </w:rPr>
        <w:t xml:space="preserve"> and </w:t>
      </w:r>
      <w:proofErr w:type="spellStart"/>
      <w:r w:rsidRPr="001348E3">
        <w:rPr>
          <w:rFonts w:ascii="Calibri" w:hAnsi="Calibri" w:cs="Calibri"/>
          <w:kern w:val="0"/>
          <w:sz w:val="22"/>
          <w:szCs w:val="22"/>
          <w:lang w:eastAsia="de-DE"/>
        </w:rPr>
        <w:t>naproxen</w:t>
      </w:r>
      <w:proofErr w:type="spellEnd"/>
      <w:r w:rsidRPr="001348E3">
        <w:rPr>
          <w:rFonts w:ascii="Calibri" w:hAnsi="Calibri" w:cs="Calibri"/>
          <w:kern w:val="0"/>
          <w:sz w:val="22"/>
          <w:szCs w:val="22"/>
          <w:lang w:eastAsia="de-DE"/>
        </w:rPr>
        <w:t xml:space="preserve"> </w:t>
      </w:r>
      <w:proofErr w:type="spellStart"/>
      <w:r w:rsidRPr="001348E3">
        <w:rPr>
          <w:rFonts w:ascii="Calibri" w:hAnsi="Calibri" w:cs="Calibri"/>
          <w:kern w:val="0"/>
          <w:sz w:val="22"/>
          <w:szCs w:val="22"/>
          <w:lang w:eastAsia="de-DE"/>
        </w:rPr>
        <w:t>towards</w:t>
      </w:r>
      <w:proofErr w:type="spellEnd"/>
      <w:r w:rsidRPr="001348E3">
        <w:rPr>
          <w:rFonts w:ascii="Calibri" w:hAnsi="Calibri" w:cs="Calibri"/>
          <w:kern w:val="0"/>
          <w:sz w:val="22"/>
          <w:szCs w:val="22"/>
          <w:lang w:eastAsia="de-DE"/>
        </w:rPr>
        <w:t xml:space="preserve"> </w:t>
      </w:r>
      <w:proofErr w:type="spellStart"/>
      <w:r w:rsidRPr="001348E3">
        <w:rPr>
          <w:rFonts w:ascii="Calibri" w:hAnsi="Calibri" w:cs="Calibri"/>
          <w:kern w:val="0"/>
          <w:sz w:val="22"/>
          <w:szCs w:val="22"/>
          <w:lang w:eastAsia="de-DE"/>
        </w:rPr>
        <w:t>freshwater</w:t>
      </w:r>
      <w:proofErr w:type="spellEnd"/>
      <w:r w:rsidRPr="001348E3">
        <w:rPr>
          <w:rFonts w:ascii="Calibri" w:hAnsi="Calibri" w:cs="Calibri"/>
          <w:kern w:val="0"/>
          <w:sz w:val="22"/>
          <w:szCs w:val="22"/>
          <w:lang w:eastAsia="de-DE"/>
        </w:rPr>
        <w:t xml:space="preserve"> </w:t>
      </w:r>
      <w:proofErr w:type="spellStart"/>
      <w:r w:rsidRPr="001348E3">
        <w:rPr>
          <w:rFonts w:ascii="Calibri" w:hAnsi="Calibri" w:cs="Calibri"/>
          <w:kern w:val="0"/>
          <w:sz w:val="22"/>
          <w:szCs w:val="22"/>
          <w:lang w:eastAsia="de-DE"/>
        </w:rPr>
        <w:t>invertebrates</w:t>
      </w:r>
      <w:proofErr w:type="spellEnd"/>
      <w:r w:rsidRPr="001348E3">
        <w:rPr>
          <w:rFonts w:ascii="Calibri" w:hAnsi="Calibri" w:cs="Calibri"/>
          <w:kern w:val="0"/>
          <w:sz w:val="22"/>
          <w:szCs w:val="22"/>
          <w:lang w:eastAsia="de-DE"/>
        </w:rPr>
        <w:t xml:space="preserve">: A review. </w:t>
      </w:r>
      <w:proofErr w:type="spellStart"/>
      <w:r w:rsidRPr="001348E3">
        <w:rPr>
          <w:rFonts w:ascii="Calibri" w:hAnsi="Calibri" w:cs="Calibri"/>
          <w:kern w:val="0"/>
          <w:sz w:val="22"/>
          <w:szCs w:val="22"/>
          <w:lang w:eastAsia="de-DE"/>
        </w:rPr>
        <w:t>Sci</w:t>
      </w:r>
      <w:proofErr w:type="spellEnd"/>
      <w:r w:rsidRPr="001348E3">
        <w:rPr>
          <w:rFonts w:ascii="Calibri" w:hAnsi="Calibri" w:cs="Calibri"/>
          <w:kern w:val="0"/>
          <w:sz w:val="22"/>
          <w:szCs w:val="22"/>
          <w:lang w:eastAsia="de-DE"/>
        </w:rPr>
        <w:t xml:space="preserve"> Total </w:t>
      </w:r>
      <w:proofErr w:type="spellStart"/>
      <w:r w:rsidRPr="001348E3">
        <w:rPr>
          <w:rFonts w:ascii="Calibri" w:hAnsi="Calibri" w:cs="Calibri"/>
          <w:kern w:val="0"/>
          <w:sz w:val="22"/>
          <w:szCs w:val="22"/>
          <w:lang w:eastAsia="de-DE"/>
        </w:rPr>
        <w:t>Environ</w:t>
      </w:r>
      <w:proofErr w:type="spellEnd"/>
      <w:r w:rsidRPr="001348E3">
        <w:rPr>
          <w:rFonts w:ascii="Calibri" w:hAnsi="Calibri" w:cs="Calibri"/>
          <w:kern w:val="0"/>
          <w:sz w:val="22"/>
          <w:szCs w:val="22"/>
          <w:lang w:eastAsia="de-DE"/>
        </w:rPr>
        <w:t xml:space="preserve">. 2020 </w:t>
      </w:r>
      <w:proofErr w:type="spellStart"/>
      <w:r w:rsidRPr="001348E3">
        <w:rPr>
          <w:rFonts w:ascii="Calibri" w:hAnsi="Calibri" w:cs="Calibri"/>
          <w:kern w:val="0"/>
          <w:sz w:val="22"/>
          <w:szCs w:val="22"/>
          <w:lang w:eastAsia="de-DE"/>
        </w:rPr>
        <w:t>Oct</w:t>
      </w:r>
      <w:proofErr w:type="spellEnd"/>
      <w:r w:rsidRPr="001348E3">
        <w:rPr>
          <w:rFonts w:ascii="Calibri" w:hAnsi="Calibri" w:cs="Calibri"/>
          <w:kern w:val="0"/>
          <w:sz w:val="22"/>
          <w:szCs w:val="22"/>
          <w:lang w:eastAsia="de-DE"/>
        </w:rPr>
        <w:t xml:space="preserve"> </w:t>
      </w:r>
      <w:proofErr w:type="gramStart"/>
      <w:r w:rsidRPr="001348E3">
        <w:rPr>
          <w:rFonts w:ascii="Calibri" w:hAnsi="Calibri" w:cs="Calibri"/>
          <w:kern w:val="0"/>
          <w:sz w:val="22"/>
          <w:szCs w:val="22"/>
          <w:lang w:eastAsia="de-DE"/>
        </w:rPr>
        <w:t>20;740:140043</w:t>
      </w:r>
      <w:proofErr w:type="gramEnd"/>
      <w:r w:rsidRPr="001348E3">
        <w:rPr>
          <w:rFonts w:ascii="Calibri" w:hAnsi="Calibri" w:cs="Calibri"/>
          <w:kern w:val="0"/>
          <w:sz w:val="22"/>
          <w:szCs w:val="22"/>
          <w:lang w:eastAsia="de-DE"/>
        </w:rPr>
        <w:t xml:space="preserve">. </w:t>
      </w:r>
      <w:proofErr w:type="spellStart"/>
      <w:r w:rsidRPr="001348E3">
        <w:rPr>
          <w:rFonts w:ascii="Calibri" w:hAnsi="Calibri" w:cs="Calibri"/>
          <w:kern w:val="0"/>
          <w:sz w:val="22"/>
          <w:szCs w:val="22"/>
          <w:lang w:eastAsia="de-DE"/>
        </w:rPr>
        <w:t>doi</w:t>
      </w:r>
      <w:proofErr w:type="spellEnd"/>
      <w:r w:rsidRPr="001348E3">
        <w:rPr>
          <w:rFonts w:ascii="Calibri" w:hAnsi="Calibri" w:cs="Calibri"/>
          <w:kern w:val="0"/>
          <w:sz w:val="22"/>
          <w:szCs w:val="22"/>
          <w:lang w:eastAsia="de-DE"/>
        </w:rPr>
        <w:t xml:space="preserve">: 10.1016/j.scitotenv.2020.140043. </w:t>
      </w:r>
      <w:proofErr w:type="spellStart"/>
      <w:r w:rsidRPr="001348E3">
        <w:rPr>
          <w:rFonts w:ascii="Calibri" w:hAnsi="Calibri" w:cs="Calibri"/>
          <w:kern w:val="0"/>
          <w:sz w:val="22"/>
          <w:szCs w:val="22"/>
          <w:lang w:eastAsia="de-DE"/>
        </w:rPr>
        <w:t>Epub</w:t>
      </w:r>
      <w:proofErr w:type="spellEnd"/>
      <w:r w:rsidRPr="001348E3">
        <w:rPr>
          <w:rFonts w:ascii="Calibri" w:hAnsi="Calibri" w:cs="Calibri"/>
          <w:kern w:val="0"/>
          <w:sz w:val="22"/>
          <w:szCs w:val="22"/>
          <w:lang w:eastAsia="de-DE"/>
        </w:rPr>
        <w:t xml:space="preserve"> 2020 Jun 9. PMID: 32559537.</w:t>
      </w:r>
    </w:p>
    <w:p w:rsidR="00E4601B" w:rsidRPr="001348E3" w:rsidRDefault="00E4601B" w:rsidP="00E4601B">
      <w:pPr>
        <w:pStyle w:val="StandardWeb"/>
        <w:spacing w:before="0" w:beforeAutospacing="0" w:after="0" w:afterAutospacing="0"/>
        <w:rPr>
          <w:rFonts w:ascii="Calibri" w:hAnsi="Calibri" w:cs="Calibri"/>
          <w:sz w:val="22"/>
          <w:szCs w:val="22"/>
        </w:rPr>
      </w:pPr>
      <w:r w:rsidRPr="001348E3">
        <w:rPr>
          <w:rFonts w:ascii="Calibri" w:hAnsi="Calibri" w:cs="Calibri"/>
          <w:sz w:val="22"/>
          <w:szCs w:val="22"/>
        </w:rPr>
        <w:t xml:space="preserve">21. </w:t>
      </w:r>
      <w:proofErr w:type="spellStart"/>
      <w:r w:rsidRPr="001348E3">
        <w:rPr>
          <w:rFonts w:ascii="Calibri" w:hAnsi="Calibri" w:cs="Calibri"/>
          <w:sz w:val="22"/>
          <w:szCs w:val="22"/>
        </w:rPr>
        <w:t>Wheat</w:t>
      </w:r>
      <w:proofErr w:type="spellEnd"/>
      <w:r w:rsidRPr="001348E3">
        <w:rPr>
          <w:rFonts w:ascii="Calibri" w:hAnsi="Calibri" w:cs="Calibri"/>
          <w:sz w:val="22"/>
          <w:szCs w:val="22"/>
        </w:rPr>
        <w:t xml:space="preserve"> CM, </w:t>
      </w:r>
      <w:proofErr w:type="spellStart"/>
      <w:r w:rsidRPr="001348E3">
        <w:rPr>
          <w:rFonts w:ascii="Calibri" w:hAnsi="Calibri" w:cs="Calibri"/>
          <w:sz w:val="22"/>
          <w:szCs w:val="22"/>
        </w:rPr>
        <w:t>Bickley</w:t>
      </w:r>
      <w:proofErr w:type="spellEnd"/>
      <w:r w:rsidRPr="001348E3">
        <w:rPr>
          <w:rFonts w:ascii="Calibri" w:hAnsi="Calibri" w:cs="Calibri"/>
          <w:sz w:val="22"/>
          <w:szCs w:val="22"/>
        </w:rPr>
        <w:t xml:space="preserve"> RJ, </w:t>
      </w:r>
      <w:proofErr w:type="spellStart"/>
      <w:r w:rsidRPr="001348E3">
        <w:rPr>
          <w:rFonts w:ascii="Calibri" w:hAnsi="Calibri" w:cs="Calibri"/>
          <w:sz w:val="22"/>
          <w:szCs w:val="22"/>
        </w:rPr>
        <w:t>Hsueh</w:t>
      </w:r>
      <w:proofErr w:type="spellEnd"/>
      <w:r w:rsidRPr="001348E3">
        <w:rPr>
          <w:rFonts w:ascii="Calibri" w:hAnsi="Calibri" w:cs="Calibri"/>
          <w:sz w:val="22"/>
          <w:szCs w:val="22"/>
        </w:rPr>
        <w:t xml:space="preserve"> Y, Cohen BA. </w:t>
      </w:r>
      <w:proofErr w:type="spellStart"/>
      <w:r w:rsidRPr="001348E3">
        <w:rPr>
          <w:rFonts w:ascii="Calibri" w:hAnsi="Calibri" w:cs="Calibri"/>
          <w:sz w:val="22"/>
          <w:szCs w:val="22"/>
        </w:rPr>
        <w:t>Current</w:t>
      </w:r>
      <w:proofErr w:type="spellEnd"/>
      <w:r w:rsidRPr="001348E3">
        <w:rPr>
          <w:rFonts w:ascii="Calibri" w:hAnsi="Calibri" w:cs="Calibri"/>
          <w:sz w:val="22"/>
          <w:szCs w:val="22"/>
        </w:rPr>
        <w:t xml:space="preserve"> </w:t>
      </w:r>
      <w:proofErr w:type="spellStart"/>
      <w:r w:rsidRPr="001348E3">
        <w:rPr>
          <w:rFonts w:ascii="Calibri" w:hAnsi="Calibri" w:cs="Calibri"/>
          <w:sz w:val="22"/>
          <w:szCs w:val="22"/>
        </w:rPr>
        <w:t>trends</w:t>
      </w:r>
      <w:proofErr w:type="spellEnd"/>
      <w:r w:rsidRPr="001348E3">
        <w:rPr>
          <w:rFonts w:ascii="Calibri" w:hAnsi="Calibri" w:cs="Calibri"/>
          <w:sz w:val="22"/>
          <w:szCs w:val="22"/>
        </w:rPr>
        <w:t xml:space="preserve"> in </w:t>
      </w:r>
      <w:proofErr w:type="spellStart"/>
      <w:r w:rsidRPr="001348E3">
        <w:rPr>
          <w:rFonts w:ascii="Calibri" w:hAnsi="Calibri" w:cs="Calibri"/>
          <w:sz w:val="22"/>
          <w:szCs w:val="22"/>
        </w:rPr>
        <w:t>the</w:t>
      </w:r>
      <w:proofErr w:type="spellEnd"/>
      <w:r w:rsidRPr="001348E3">
        <w:rPr>
          <w:rFonts w:ascii="Calibri" w:hAnsi="Calibri" w:cs="Calibri"/>
          <w:sz w:val="22"/>
          <w:szCs w:val="22"/>
        </w:rPr>
        <w:t xml:space="preserve"> </w:t>
      </w:r>
      <w:proofErr w:type="spellStart"/>
      <w:r w:rsidRPr="001348E3">
        <w:rPr>
          <w:rFonts w:ascii="Calibri" w:hAnsi="Calibri" w:cs="Calibri"/>
          <w:sz w:val="22"/>
          <w:szCs w:val="22"/>
        </w:rPr>
        <w:t>use</w:t>
      </w:r>
      <w:proofErr w:type="spellEnd"/>
      <w:r w:rsidRPr="001348E3">
        <w:rPr>
          <w:rFonts w:ascii="Calibri" w:hAnsi="Calibri" w:cs="Calibri"/>
          <w:sz w:val="22"/>
          <w:szCs w:val="22"/>
        </w:rPr>
        <w:t xml:space="preserve"> </w:t>
      </w:r>
      <w:proofErr w:type="spellStart"/>
      <w:r w:rsidRPr="001348E3">
        <w:rPr>
          <w:rFonts w:ascii="Calibri" w:hAnsi="Calibri" w:cs="Calibri"/>
          <w:sz w:val="22"/>
          <w:szCs w:val="22"/>
        </w:rPr>
        <w:t>of</w:t>
      </w:r>
      <w:proofErr w:type="spellEnd"/>
      <w:r w:rsidRPr="001348E3">
        <w:rPr>
          <w:rFonts w:ascii="Calibri" w:hAnsi="Calibri" w:cs="Calibri"/>
          <w:sz w:val="22"/>
          <w:szCs w:val="22"/>
        </w:rPr>
        <w:t xml:space="preserve"> </w:t>
      </w:r>
      <w:proofErr w:type="spellStart"/>
      <w:r w:rsidRPr="001348E3">
        <w:rPr>
          <w:rFonts w:ascii="Calibri" w:hAnsi="Calibri" w:cs="Calibri"/>
          <w:sz w:val="22"/>
          <w:szCs w:val="22"/>
        </w:rPr>
        <w:t>two</w:t>
      </w:r>
      <w:proofErr w:type="spellEnd"/>
      <w:r w:rsidRPr="001348E3">
        <w:rPr>
          <w:rFonts w:ascii="Calibri" w:hAnsi="Calibri" w:cs="Calibri"/>
          <w:sz w:val="22"/>
          <w:szCs w:val="22"/>
        </w:rPr>
        <w:t xml:space="preserve"> </w:t>
      </w:r>
      <w:proofErr w:type="spellStart"/>
      <w:r w:rsidRPr="001348E3">
        <w:rPr>
          <w:rFonts w:ascii="Calibri" w:hAnsi="Calibri" w:cs="Calibri"/>
          <w:sz w:val="22"/>
          <w:szCs w:val="22"/>
        </w:rPr>
        <w:t>combination</w:t>
      </w:r>
      <w:proofErr w:type="spellEnd"/>
      <w:r w:rsidRPr="001348E3">
        <w:rPr>
          <w:rFonts w:ascii="Calibri" w:hAnsi="Calibri" w:cs="Calibri"/>
          <w:sz w:val="22"/>
          <w:szCs w:val="22"/>
        </w:rPr>
        <w:t xml:space="preserve"> </w:t>
      </w:r>
      <w:proofErr w:type="spellStart"/>
      <w:r w:rsidRPr="001348E3">
        <w:rPr>
          <w:rFonts w:ascii="Calibri" w:hAnsi="Calibri" w:cs="Calibri"/>
          <w:sz w:val="22"/>
          <w:szCs w:val="22"/>
        </w:rPr>
        <w:t>antifungal</w:t>
      </w:r>
      <w:proofErr w:type="spellEnd"/>
      <w:r w:rsidRPr="001348E3">
        <w:rPr>
          <w:rFonts w:ascii="Calibri" w:hAnsi="Calibri" w:cs="Calibri"/>
          <w:sz w:val="22"/>
          <w:szCs w:val="22"/>
        </w:rPr>
        <w:t>/</w:t>
      </w:r>
      <w:proofErr w:type="spellStart"/>
      <w:r w:rsidRPr="001348E3">
        <w:rPr>
          <w:rFonts w:ascii="Calibri" w:hAnsi="Calibri" w:cs="Calibri"/>
          <w:sz w:val="22"/>
          <w:szCs w:val="22"/>
        </w:rPr>
        <w:t>corticosteroid</w:t>
      </w:r>
      <w:proofErr w:type="spellEnd"/>
      <w:r w:rsidRPr="001348E3">
        <w:rPr>
          <w:rFonts w:ascii="Calibri" w:hAnsi="Calibri" w:cs="Calibri"/>
          <w:sz w:val="22"/>
          <w:szCs w:val="22"/>
        </w:rPr>
        <w:t xml:space="preserve"> </w:t>
      </w:r>
      <w:proofErr w:type="spellStart"/>
      <w:r w:rsidRPr="001348E3">
        <w:rPr>
          <w:rFonts w:ascii="Calibri" w:hAnsi="Calibri" w:cs="Calibri"/>
          <w:sz w:val="22"/>
          <w:szCs w:val="22"/>
        </w:rPr>
        <w:t>creams</w:t>
      </w:r>
      <w:proofErr w:type="spellEnd"/>
      <w:r w:rsidRPr="001348E3">
        <w:rPr>
          <w:rFonts w:ascii="Calibri" w:hAnsi="Calibri" w:cs="Calibri"/>
          <w:sz w:val="22"/>
          <w:szCs w:val="22"/>
        </w:rPr>
        <w:t xml:space="preserve">. J </w:t>
      </w:r>
      <w:proofErr w:type="spellStart"/>
      <w:r w:rsidRPr="001348E3">
        <w:rPr>
          <w:rFonts w:ascii="Calibri" w:hAnsi="Calibri" w:cs="Calibri"/>
          <w:sz w:val="22"/>
          <w:szCs w:val="22"/>
        </w:rPr>
        <w:t>Pediatr</w:t>
      </w:r>
      <w:proofErr w:type="spellEnd"/>
      <w:r w:rsidRPr="001348E3">
        <w:rPr>
          <w:rFonts w:ascii="Calibri" w:hAnsi="Calibri" w:cs="Calibri"/>
          <w:sz w:val="22"/>
          <w:szCs w:val="22"/>
        </w:rPr>
        <w:t xml:space="preserve">. </w:t>
      </w:r>
      <w:proofErr w:type="gramStart"/>
      <w:r w:rsidRPr="001348E3">
        <w:rPr>
          <w:rFonts w:ascii="Calibri" w:hAnsi="Calibri" w:cs="Calibri"/>
          <w:sz w:val="22"/>
          <w:szCs w:val="22"/>
        </w:rPr>
        <w:t>2017;186:192</w:t>
      </w:r>
      <w:proofErr w:type="gramEnd"/>
      <w:r w:rsidRPr="001348E3">
        <w:rPr>
          <w:rFonts w:ascii="Calibri" w:hAnsi="Calibri" w:cs="Calibri"/>
          <w:sz w:val="22"/>
          <w:szCs w:val="22"/>
        </w:rPr>
        <w:t>-195</w:t>
      </w:r>
    </w:p>
    <w:p w:rsidR="00E4601B" w:rsidRPr="001348E3" w:rsidRDefault="00E4601B" w:rsidP="00E4601B">
      <w:pPr>
        <w:pStyle w:val="StandardWeb"/>
        <w:spacing w:before="0" w:beforeAutospacing="0" w:after="0" w:afterAutospacing="0"/>
        <w:rPr>
          <w:rFonts w:ascii="Calibri" w:hAnsi="Calibri" w:cs="Calibri"/>
          <w:sz w:val="22"/>
          <w:szCs w:val="22"/>
        </w:rPr>
      </w:pPr>
      <w:r w:rsidRPr="001348E3">
        <w:rPr>
          <w:rFonts w:ascii="Calibri" w:hAnsi="Calibri" w:cs="Calibri"/>
          <w:sz w:val="22"/>
          <w:szCs w:val="22"/>
        </w:rPr>
        <w:t xml:space="preserve">22. Cohen BA. Differential </w:t>
      </w:r>
      <w:proofErr w:type="spellStart"/>
      <w:r w:rsidRPr="001348E3">
        <w:rPr>
          <w:rFonts w:ascii="Calibri" w:hAnsi="Calibri" w:cs="Calibri"/>
          <w:sz w:val="22"/>
          <w:szCs w:val="22"/>
        </w:rPr>
        <w:t>diagnosis</w:t>
      </w:r>
      <w:proofErr w:type="spellEnd"/>
      <w:r w:rsidRPr="001348E3">
        <w:rPr>
          <w:rFonts w:ascii="Calibri" w:hAnsi="Calibri" w:cs="Calibri"/>
          <w:sz w:val="22"/>
          <w:szCs w:val="22"/>
        </w:rPr>
        <w:t xml:space="preserve"> </w:t>
      </w:r>
      <w:proofErr w:type="spellStart"/>
      <w:r w:rsidRPr="001348E3">
        <w:rPr>
          <w:rFonts w:ascii="Calibri" w:hAnsi="Calibri" w:cs="Calibri"/>
          <w:sz w:val="22"/>
          <w:szCs w:val="22"/>
        </w:rPr>
        <w:t>of</w:t>
      </w:r>
      <w:proofErr w:type="spellEnd"/>
      <w:r w:rsidRPr="001348E3">
        <w:rPr>
          <w:rFonts w:ascii="Calibri" w:hAnsi="Calibri" w:cs="Calibri"/>
          <w:sz w:val="22"/>
          <w:szCs w:val="22"/>
        </w:rPr>
        <w:t xml:space="preserve"> </w:t>
      </w:r>
      <w:proofErr w:type="spellStart"/>
      <w:r w:rsidRPr="001348E3">
        <w:rPr>
          <w:rFonts w:ascii="Calibri" w:hAnsi="Calibri" w:cs="Calibri"/>
          <w:sz w:val="22"/>
          <w:szCs w:val="22"/>
        </w:rPr>
        <w:t>diaper</w:t>
      </w:r>
      <w:proofErr w:type="spellEnd"/>
      <w:r w:rsidRPr="001348E3">
        <w:rPr>
          <w:rFonts w:ascii="Calibri" w:hAnsi="Calibri" w:cs="Calibri"/>
          <w:sz w:val="22"/>
          <w:szCs w:val="22"/>
        </w:rPr>
        <w:t xml:space="preserve"> </w:t>
      </w:r>
      <w:proofErr w:type="spellStart"/>
      <w:r w:rsidRPr="001348E3">
        <w:rPr>
          <w:rFonts w:ascii="Calibri" w:hAnsi="Calibri" w:cs="Calibri"/>
          <w:sz w:val="22"/>
          <w:szCs w:val="22"/>
        </w:rPr>
        <w:t>dermatitis</w:t>
      </w:r>
      <w:proofErr w:type="spellEnd"/>
      <w:r w:rsidRPr="001348E3">
        <w:rPr>
          <w:rFonts w:ascii="Calibri" w:hAnsi="Calibri" w:cs="Calibri"/>
          <w:sz w:val="22"/>
          <w:szCs w:val="22"/>
        </w:rPr>
        <w:t xml:space="preserve">. </w:t>
      </w:r>
      <w:proofErr w:type="spellStart"/>
      <w:r w:rsidRPr="001348E3">
        <w:rPr>
          <w:rFonts w:ascii="Calibri" w:hAnsi="Calibri" w:cs="Calibri"/>
          <w:sz w:val="22"/>
          <w:szCs w:val="22"/>
        </w:rPr>
        <w:t>Clin</w:t>
      </w:r>
      <w:proofErr w:type="spellEnd"/>
      <w:r w:rsidRPr="001348E3">
        <w:rPr>
          <w:rFonts w:ascii="Calibri" w:hAnsi="Calibri" w:cs="Calibri"/>
          <w:sz w:val="22"/>
          <w:szCs w:val="22"/>
        </w:rPr>
        <w:t xml:space="preserve"> </w:t>
      </w:r>
      <w:proofErr w:type="spellStart"/>
      <w:r w:rsidRPr="001348E3">
        <w:rPr>
          <w:rFonts w:ascii="Calibri" w:hAnsi="Calibri" w:cs="Calibri"/>
          <w:sz w:val="22"/>
          <w:szCs w:val="22"/>
        </w:rPr>
        <w:t>Pediatr</w:t>
      </w:r>
      <w:proofErr w:type="spellEnd"/>
      <w:r w:rsidRPr="001348E3">
        <w:rPr>
          <w:rFonts w:ascii="Calibri" w:hAnsi="Calibri" w:cs="Calibri"/>
          <w:sz w:val="22"/>
          <w:szCs w:val="22"/>
        </w:rPr>
        <w:t xml:space="preserve">. </w:t>
      </w:r>
      <w:proofErr w:type="gramStart"/>
      <w:r w:rsidRPr="001348E3">
        <w:rPr>
          <w:rFonts w:ascii="Calibri" w:hAnsi="Calibri" w:cs="Calibri"/>
          <w:sz w:val="22"/>
          <w:szCs w:val="22"/>
        </w:rPr>
        <w:t>2017;56:16</w:t>
      </w:r>
      <w:proofErr w:type="gramEnd"/>
      <w:r w:rsidRPr="001348E3">
        <w:rPr>
          <w:rFonts w:ascii="Calibri" w:hAnsi="Calibri" w:cs="Calibri"/>
          <w:sz w:val="22"/>
          <w:szCs w:val="22"/>
        </w:rPr>
        <w:t>S-22S</w:t>
      </w:r>
    </w:p>
    <w:p w:rsidR="00210B95" w:rsidRPr="001348E3" w:rsidRDefault="00210B95" w:rsidP="00210B95">
      <w:pPr>
        <w:suppressAutoHyphens w:val="0"/>
        <w:jc w:val="left"/>
        <w:rPr>
          <w:rFonts w:ascii="Calibri" w:hAnsi="Calibri" w:cs="Calibri"/>
          <w:kern w:val="0"/>
          <w:sz w:val="22"/>
          <w:szCs w:val="22"/>
          <w:lang w:eastAsia="de-DE"/>
        </w:rPr>
      </w:pPr>
      <w:r w:rsidRPr="001348E3">
        <w:rPr>
          <w:rFonts w:ascii="Calibri" w:hAnsi="Calibri" w:cs="Calibri"/>
          <w:kern w:val="0"/>
          <w:sz w:val="22"/>
          <w:szCs w:val="22"/>
          <w:lang w:eastAsia="de-DE"/>
        </w:rPr>
        <w:t xml:space="preserve">23. </w:t>
      </w:r>
      <w:proofErr w:type="spellStart"/>
      <w:r w:rsidRPr="001348E3">
        <w:rPr>
          <w:rFonts w:ascii="Calibri" w:hAnsi="Calibri" w:cs="Calibri"/>
          <w:kern w:val="0"/>
          <w:sz w:val="22"/>
          <w:szCs w:val="22"/>
          <w:lang w:eastAsia="de-DE"/>
        </w:rPr>
        <w:t>Meersseman</w:t>
      </w:r>
      <w:proofErr w:type="spellEnd"/>
      <w:r w:rsidRPr="001348E3">
        <w:rPr>
          <w:rFonts w:ascii="Calibri" w:hAnsi="Calibri" w:cs="Calibri"/>
          <w:kern w:val="0"/>
          <w:sz w:val="22"/>
          <w:szCs w:val="22"/>
          <w:lang w:eastAsia="de-DE"/>
        </w:rPr>
        <w:t xml:space="preserve"> W, </w:t>
      </w:r>
      <w:proofErr w:type="spellStart"/>
      <w:r w:rsidRPr="001348E3">
        <w:rPr>
          <w:rFonts w:ascii="Calibri" w:hAnsi="Calibri" w:cs="Calibri"/>
          <w:kern w:val="0"/>
          <w:sz w:val="22"/>
          <w:szCs w:val="22"/>
          <w:lang w:eastAsia="de-DE"/>
        </w:rPr>
        <w:t>Lagrou</w:t>
      </w:r>
      <w:proofErr w:type="spellEnd"/>
      <w:r w:rsidRPr="001348E3">
        <w:rPr>
          <w:rFonts w:ascii="Calibri" w:hAnsi="Calibri" w:cs="Calibri"/>
          <w:kern w:val="0"/>
          <w:sz w:val="22"/>
          <w:szCs w:val="22"/>
          <w:lang w:eastAsia="de-DE"/>
        </w:rPr>
        <w:t xml:space="preserve"> K, Spriet I, et al.: </w:t>
      </w:r>
      <w:proofErr w:type="spellStart"/>
      <w:r w:rsidRPr="001348E3">
        <w:rPr>
          <w:rFonts w:ascii="Calibri" w:hAnsi="Calibri" w:cs="Calibri"/>
          <w:kern w:val="0"/>
          <w:sz w:val="22"/>
          <w:szCs w:val="22"/>
          <w:lang w:eastAsia="de-DE"/>
        </w:rPr>
        <w:t>Significance</w:t>
      </w:r>
      <w:proofErr w:type="spellEnd"/>
      <w:r w:rsidRPr="001348E3">
        <w:rPr>
          <w:rFonts w:ascii="Calibri" w:hAnsi="Calibri" w:cs="Calibri"/>
          <w:kern w:val="0"/>
          <w:sz w:val="22"/>
          <w:szCs w:val="22"/>
          <w:lang w:eastAsia="de-DE"/>
        </w:rPr>
        <w:t xml:space="preserve"> </w:t>
      </w:r>
      <w:proofErr w:type="spellStart"/>
      <w:r w:rsidRPr="001348E3">
        <w:rPr>
          <w:rFonts w:ascii="Calibri" w:hAnsi="Calibri" w:cs="Calibri"/>
          <w:kern w:val="0"/>
          <w:sz w:val="22"/>
          <w:szCs w:val="22"/>
          <w:lang w:eastAsia="de-DE"/>
        </w:rPr>
        <w:t>of</w:t>
      </w:r>
      <w:proofErr w:type="spellEnd"/>
      <w:r w:rsidRPr="001348E3">
        <w:rPr>
          <w:rFonts w:ascii="Calibri" w:hAnsi="Calibri" w:cs="Calibri"/>
          <w:kern w:val="0"/>
          <w:sz w:val="22"/>
          <w:szCs w:val="22"/>
          <w:lang w:eastAsia="de-DE"/>
        </w:rPr>
        <w:t xml:space="preserve"> </w:t>
      </w:r>
      <w:proofErr w:type="spellStart"/>
      <w:r w:rsidRPr="001348E3">
        <w:rPr>
          <w:rFonts w:ascii="Calibri" w:hAnsi="Calibri" w:cs="Calibri"/>
          <w:kern w:val="0"/>
          <w:sz w:val="22"/>
          <w:szCs w:val="22"/>
          <w:lang w:eastAsia="de-DE"/>
        </w:rPr>
        <w:t>the</w:t>
      </w:r>
      <w:proofErr w:type="spellEnd"/>
      <w:r w:rsidRPr="001348E3">
        <w:rPr>
          <w:rFonts w:ascii="Calibri" w:hAnsi="Calibri" w:cs="Calibri"/>
          <w:kern w:val="0"/>
          <w:sz w:val="22"/>
          <w:szCs w:val="22"/>
          <w:lang w:eastAsia="de-DE"/>
        </w:rPr>
        <w:t xml:space="preserve"> </w:t>
      </w:r>
      <w:proofErr w:type="spellStart"/>
      <w:r w:rsidRPr="001348E3">
        <w:rPr>
          <w:rFonts w:ascii="Calibri" w:hAnsi="Calibri" w:cs="Calibri"/>
          <w:kern w:val="0"/>
          <w:sz w:val="22"/>
          <w:szCs w:val="22"/>
          <w:lang w:eastAsia="de-DE"/>
        </w:rPr>
        <w:t>isolation</w:t>
      </w:r>
      <w:proofErr w:type="spellEnd"/>
      <w:r w:rsidRPr="001348E3">
        <w:rPr>
          <w:rFonts w:ascii="Calibri" w:hAnsi="Calibri" w:cs="Calibri"/>
          <w:kern w:val="0"/>
          <w:sz w:val="22"/>
          <w:szCs w:val="22"/>
          <w:lang w:eastAsia="de-DE"/>
        </w:rPr>
        <w:t xml:space="preserve"> </w:t>
      </w:r>
      <w:proofErr w:type="spellStart"/>
      <w:r w:rsidRPr="001348E3">
        <w:rPr>
          <w:rFonts w:ascii="Calibri" w:hAnsi="Calibri" w:cs="Calibri"/>
          <w:kern w:val="0"/>
          <w:sz w:val="22"/>
          <w:szCs w:val="22"/>
          <w:lang w:eastAsia="de-DE"/>
        </w:rPr>
        <w:t>of</w:t>
      </w:r>
      <w:proofErr w:type="spellEnd"/>
      <w:r w:rsidRPr="001348E3">
        <w:rPr>
          <w:rFonts w:ascii="Calibri" w:hAnsi="Calibri" w:cs="Calibri"/>
          <w:kern w:val="0"/>
          <w:sz w:val="22"/>
          <w:szCs w:val="22"/>
          <w:lang w:eastAsia="de-DE"/>
        </w:rPr>
        <w:t xml:space="preserve"> </w:t>
      </w:r>
      <w:proofErr w:type="spellStart"/>
      <w:r w:rsidRPr="001348E3">
        <w:rPr>
          <w:rFonts w:ascii="Calibri" w:hAnsi="Calibri" w:cs="Calibri"/>
          <w:kern w:val="0"/>
          <w:sz w:val="22"/>
          <w:szCs w:val="22"/>
          <w:lang w:eastAsia="de-DE"/>
        </w:rPr>
        <w:t>candida</w:t>
      </w:r>
      <w:proofErr w:type="spellEnd"/>
      <w:r w:rsidRPr="001348E3">
        <w:rPr>
          <w:rFonts w:ascii="Calibri" w:hAnsi="Calibri" w:cs="Calibri"/>
          <w:kern w:val="0"/>
          <w:sz w:val="22"/>
          <w:szCs w:val="22"/>
          <w:lang w:eastAsia="de-DE"/>
        </w:rPr>
        <w:t xml:space="preserve"> </w:t>
      </w:r>
      <w:proofErr w:type="spellStart"/>
      <w:r w:rsidRPr="001348E3">
        <w:rPr>
          <w:rFonts w:ascii="Calibri" w:hAnsi="Calibri" w:cs="Calibri"/>
          <w:kern w:val="0"/>
          <w:sz w:val="22"/>
          <w:szCs w:val="22"/>
          <w:lang w:eastAsia="de-DE"/>
        </w:rPr>
        <w:t>species</w:t>
      </w:r>
      <w:proofErr w:type="spellEnd"/>
      <w:r w:rsidRPr="001348E3">
        <w:rPr>
          <w:rFonts w:ascii="Calibri" w:hAnsi="Calibri" w:cs="Calibri"/>
          <w:kern w:val="0"/>
          <w:sz w:val="22"/>
          <w:szCs w:val="22"/>
          <w:lang w:eastAsia="de-DE"/>
        </w:rPr>
        <w:t xml:space="preserve"> </w:t>
      </w:r>
      <w:proofErr w:type="spellStart"/>
      <w:r w:rsidRPr="001348E3">
        <w:rPr>
          <w:rFonts w:ascii="Calibri" w:hAnsi="Calibri" w:cs="Calibri"/>
          <w:kern w:val="0"/>
          <w:sz w:val="22"/>
          <w:szCs w:val="22"/>
          <w:lang w:eastAsia="de-DE"/>
        </w:rPr>
        <w:t>from</w:t>
      </w:r>
      <w:proofErr w:type="spellEnd"/>
      <w:r w:rsidRPr="001348E3">
        <w:rPr>
          <w:rFonts w:ascii="Calibri" w:hAnsi="Calibri" w:cs="Calibri"/>
          <w:kern w:val="0"/>
          <w:sz w:val="22"/>
          <w:szCs w:val="22"/>
          <w:lang w:eastAsia="de-DE"/>
        </w:rPr>
        <w:t xml:space="preserve"> </w:t>
      </w:r>
      <w:proofErr w:type="spellStart"/>
      <w:r w:rsidRPr="001348E3">
        <w:rPr>
          <w:rFonts w:ascii="Calibri" w:hAnsi="Calibri" w:cs="Calibri"/>
          <w:kern w:val="0"/>
          <w:sz w:val="22"/>
          <w:szCs w:val="22"/>
          <w:lang w:eastAsia="de-DE"/>
        </w:rPr>
        <w:t>airway</w:t>
      </w:r>
      <w:proofErr w:type="spellEnd"/>
      <w:r w:rsidRPr="001348E3">
        <w:rPr>
          <w:rFonts w:ascii="Calibri" w:hAnsi="Calibri" w:cs="Calibri"/>
          <w:kern w:val="0"/>
          <w:sz w:val="22"/>
          <w:szCs w:val="22"/>
          <w:lang w:eastAsia="de-DE"/>
        </w:rPr>
        <w:t xml:space="preserve"> </w:t>
      </w:r>
      <w:proofErr w:type="spellStart"/>
      <w:r w:rsidRPr="001348E3">
        <w:rPr>
          <w:rFonts w:ascii="Calibri" w:hAnsi="Calibri" w:cs="Calibri"/>
          <w:kern w:val="0"/>
          <w:sz w:val="22"/>
          <w:szCs w:val="22"/>
          <w:lang w:eastAsia="de-DE"/>
        </w:rPr>
        <w:t>samples</w:t>
      </w:r>
      <w:proofErr w:type="spellEnd"/>
      <w:r w:rsidRPr="001348E3">
        <w:rPr>
          <w:rFonts w:ascii="Calibri" w:hAnsi="Calibri" w:cs="Calibri"/>
          <w:kern w:val="0"/>
          <w:sz w:val="22"/>
          <w:szCs w:val="22"/>
          <w:lang w:eastAsia="de-DE"/>
        </w:rPr>
        <w:t xml:space="preserve"> in </w:t>
      </w:r>
      <w:proofErr w:type="spellStart"/>
      <w:r w:rsidRPr="001348E3">
        <w:rPr>
          <w:rFonts w:ascii="Calibri" w:hAnsi="Calibri" w:cs="Calibri"/>
          <w:kern w:val="0"/>
          <w:sz w:val="22"/>
          <w:szCs w:val="22"/>
          <w:lang w:eastAsia="de-DE"/>
        </w:rPr>
        <w:t>critically</w:t>
      </w:r>
      <w:proofErr w:type="spellEnd"/>
      <w:r w:rsidRPr="001348E3">
        <w:rPr>
          <w:rFonts w:ascii="Calibri" w:hAnsi="Calibri" w:cs="Calibri"/>
          <w:kern w:val="0"/>
          <w:sz w:val="22"/>
          <w:szCs w:val="22"/>
          <w:lang w:eastAsia="de-DE"/>
        </w:rPr>
        <w:t xml:space="preserve"> </w:t>
      </w:r>
      <w:proofErr w:type="spellStart"/>
      <w:r w:rsidRPr="001348E3">
        <w:rPr>
          <w:rFonts w:ascii="Calibri" w:hAnsi="Calibri" w:cs="Calibri"/>
          <w:kern w:val="0"/>
          <w:sz w:val="22"/>
          <w:szCs w:val="22"/>
          <w:lang w:eastAsia="de-DE"/>
        </w:rPr>
        <w:t>ill</w:t>
      </w:r>
      <w:proofErr w:type="spellEnd"/>
      <w:r w:rsidRPr="001348E3">
        <w:rPr>
          <w:rFonts w:ascii="Calibri" w:hAnsi="Calibri" w:cs="Calibri"/>
          <w:kern w:val="0"/>
          <w:sz w:val="22"/>
          <w:szCs w:val="22"/>
          <w:lang w:eastAsia="de-DE"/>
        </w:rPr>
        <w:t xml:space="preserve"> </w:t>
      </w:r>
      <w:proofErr w:type="spellStart"/>
      <w:r w:rsidRPr="001348E3">
        <w:rPr>
          <w:rFonts w:ascii="Calibri" w:hAnsi="Calibri" w:cs="Calibri"/>
          <w:kern w:val="0"/>
          <w:sz w:val="22"/>
          <w:szCs w:val="22"/>
          <w:lang w:eastAsia="de-DE"/>
        </w:rPr>
        <w:t>patients</w:t>
      </w:r>
      <w:proofErr w:type="spellEnd"/>
      <w:r w:rsidRPr="001348E3">
        <w:rPr>
          <w:rFonts w:ascii="Calibri" w:hAnsi="Calibri" w:cs="Calibri"/>
          <w:kern w:val="0"/>
          <w:sz w:val="22"/>
          <w:szCs w:val="22"/>
          <w:lang w:eastAsia="de-DE"/>
        </w:rPr>
        <w:t xml:space="preserve">: a </w:t>
      </w:r>
      <w:proofErr w:type="spellStart"/>
      <w:r w:rsidRPr="001348E3">
        <w:rPr>
          <w:rFonts w:ascii="Calibri" w:hAnsi="Calibri" w:cs="Calibri"/>
          <w:kern w:val="0"/>
          <w:sz w:val="22"/>
          <w:szCs w:val="22"/>
          <w:lang w:eastAsia="de-DE"/>
        </w:rPr>
        <w:t>prospective</w:t>
      </w:r>
      <w:proofErr w:type="spellEnd"/>
      <w:r w:rsidRPr="001348E3">
        <w:rPr>
          <w:rFonts w:ascii="Calibri" w:hAnsi="Calibri" w:cs="Calibri"/>
          <w:kern w:val="0"/>
          <w:sz w:val="22"/>
          <w:szCs w:val="22"/>
          <w:lang w:eastAsia="de-DE"/>
        </w:rPr>
        <w:t xml:space="preserve">, </w:t>
      </w:r>
      <w:proofErr w:type="spellStart"/>
      <w:r w:rsidRPr="001348E3">
        <w:rPr>
          <w:rFonts w:ascii="Calibri" w:hAnsi="Calibri" w:cs="Calibri"/>
          <w:kern w:val="0"/>
          <w:sz w:val="22"/>
          <w:szCs w:val="22"/>
          <w:lang w:eastAsia="de-DE"/>
        </w:rPr>
        <w:t>autopsy</w:t>
      </w:r>
      <w:proofErr w:type="spellEnd"/>
      <w:r w:rsidRPr="001348E3">
        <w:rPr>
          <w:rFonts w:ascii="Calibri" w:hAnsi="Calibri" w:cs="Calibri"/>
          <w:kern w:val="0"/>
          <w:sz w:val="22"/>
          <w:szCs w:val="22"/>
          <w:lang w:eastAsia="de-DE"/>
        </w:rPr>
        <w:t xml:space="preserve"> </w:t>
      </w:r>
      <w:proofErr w:type="spellStart"/>
      <w:r w:rsidRPr="001348E3">
        <w:rPr>
          <w:rFonts w:ascii="Calibri" w:hAnsi="Calibri" w:cs="Calibri"/>
          <w:kern w:val="0"/>
          <w:sz w:val="22"/>
          <w:szCs w:val="22"/>
          <w:lang w:eastAsia="de-DE"/>
        </w:rPr>
        <w:t>study</w:t>
      </w:r>
      <w:proofErr w:type="spellEnd"/>
      <w:r w:rsidRPr="001348E3">
        <w:rPr>
          <w:rFonts w:ascii="Calibri" w:hAnsi="Calibri" w:cs="Calibri"/>
          <w:kern w:val="0"/>
          <w:sz w:val="22"/>
          <w:szCs w:val="22"/>
          <w:lang w:eastAsia="de-DE"/>
        </w:rPr>
        <w:t xml:space="preserve">. Intensive Care </w:t>
      </w:r>
      <w:proofErr w:type="spellStart"/>
      <w:r w:rsidRPr="001348E3">
        <w:rPr>
          <w:rFonts w:ascii="Calibri" w:hAnsi="Calibri" w:cs="Calibri"/>
          <w:kern w:val="0"/>
          <w:sz w:val="22"/>
          <w:szCs w:val="22"/>
          <w:lang w:eastAsia="de-DE"/>
        </w:rPr>
        <w:t>Med</w:t>
      </w:r>
      <w:proofErr w:type="spellEnd"/>
      <w:r w:rsidRPr="001348E3">
        <w:rPr>
          <w:rFonts w:ascii="Calibri" w:hAnsi="Calibri" w:cs="Calibri"/>
          <w:kern w:val="0"/>
          <w:sz w:val="22"/>
          <w:szCs w:val="22"/>
          <w:lang w:eastAsia="de-DE"/>
        </w:rPr>
        <w:t xml:space="preserve"> 2009; 35: 1526–31.</w:t>
      </w:r>
    </w:p>
    <w:p w:rsidR="00E4601B" w:rsidRPr="001348E3" w:rsidRDefault="006C47E6" w:rsidP="00210B95">
      <w:pPr>
        <w:suppressAutoHyphens w:val="0"/>
        <w:jc w:val="left"/>
        <w:rPr>
          <w:rFonts w:ascii="Calibri" w:hAnsi="Calibri" w:cs="Calibri"/>
          <w:kern w:val="0"/>
          <w:sz w:val="22"/>
          <w:szCs w:val="22"/>
          <w:lang w:eastAsia="de-DE"/>
        </w:rPr>
      </w:pPr>
      <w:r w:rsidRPr="001348E3">
        <w:rPr>
          <w:rFonts w:ascii="Calibri" w:hAnsi="Calibri" w:cs="Calibri"/>
          <w:kern w:val="0"/>
          <w:sz w:val="22"/>
          <w:szCs w:val="22"/>
          <w:lang w:eastAsia="de-DE"/>
        </w:rPr>
        <w:t xml:space="preserve">24. </w:t>
      </w:r>
      <w:r w:rsidR="00210B95" w:rsidRPr="001348E3">
        <w:rPr>
          <w:rFonts w:ascii="Calibri" w:hAnsi="Calibri" w:cs="Calibri"/>
          <w:kern w:val="0"/>
          <w:sz w:val="22"/>
          <w:szCs w:val="22"/>
          <w:lang w:eastAsia="de-DE"/>
        </w:rPr>
        <w:t xml:space="preserve">Lindau S, et al.: </w:t>
      </w:r>
      <w:proofErr w:type="spellStart"/>
      <w:r w:rsidR="00210B95" w:rsidRPr="001348E3">
        <w:rPr>
          <w:rFonts w:ascii="Calibri" w:hAnsi="Calibri" w:cs="Calibri"/>
          <w:kern w:val="0"/>
          <w:sz w:val="22"/>
          <w:szCs w:val="22"/>
          <w:lang w:eastAsia="de-DE"/>
        </w:rPr>
        <w:t>Antifungal</w:t>
      </w:r>
      <w:proofErr w:type="spellEnd"/>
      <w:r w:rsidR="00210B95" w:rsidRPr="001348E3">
        <w:rPr>
          <w:rFonts w:ascii="Calibri" w:hAnsi="Calibri" w:cs="Calibri"/>
          <w:kern w:val="0"/>
          <w:sz w:val="22"/>
          <w:szCs w:val="22"/>
          <w:lang w:eastAsia="de-DE"/>
        </w:rPr>
        <w:t xml:space="preserve"> </w:t>
      </w:r>
      <w:proofErr w:type="spellStart"/>
      <w:r w:rsidR="00210B95" w:rsidRPr="001348E3">
        <w:rPr>
          <w:rFonts w:ascii="Calibri" w:hAnsi="Calibri" w:cs="Calibri"/>
          <w:kern w:val="0"/>
          <w:sz w:val="22"/>
          <w:szCs w:val="22"/>
          <w:lang w:eastAsia="de-DE"/>
        </w:rPr>
        <w:t>therapy</w:t>
      </w:r>
      <w:proofErr w:type="spellEnd"/>
      <w:r w:rsidR="00210B95" w:rsidRPr="001348E3">
        <w:rPr>
          <w:rFonts w:ascii="Calibri" w:hAnsi="Calibri" w:cs="Calibri"/>
          <w:kern w:val="0"/>
          <w:sz w:val="22"/>
          <w:szCs w:val="22"/>
          <w:lang w:eastAsia="de-DE"/>
        </w:rPr>
        <w:t xml:space="preserve"> in </w:t>
      </w:r>
      <w:proofErr w:type="spellStart"/>
      <w:r w:rsidR="00210B95" w:rsidRPr="001348E3">
        <w:rPr>
          <w:rFonts w:ascii="Calibri" w:hAnsi="Calibri" w:cs="Calibri"/>
          <w:kern w:val="0"/>
          <w:sz w:val="22"/>
          <w:szCs w:val="22"/>
          <w:lang w:eastAsia="de-DE"/>
        </w:rPr>
        <w:t>patients</w:t>
      </w:r>
      <w:proofErr w:type="spellEnd"/>
      <w:r w:rsidR="00210B95" w:rsidRPr="001348E3">
        <w:rPr>
          <w:rFonts w:ascii="Calibri" w:hAnsi="Calibri" w:cs="Calibri"/>
          <w:kern w:val="0"/>
          <w:sz w:val="22"/>
          <w:szCs w:val="22"/>
          <w:lang w:eastAsia="de-DE"/>
        </w:rPr>
        <w:t xml:space="preserve"> </w:t>
      </w:r>
      <w:proofErr w:type="spellStart"/>
      <w:r w:rsidR="00210B95" w:rsidRPr="001348E3">
        <w:rPr>
          <w:rFonts w:ascii="Calibri" w:hAnsi="Calibri" w:cs="Calibri"/>
          <w:kern w:val="0"/>
          <w:sz w:val="22"/>
          <w:szCs w:val="22"/>
          <w:lang w:eastAsia="de-DE"/>
        </w:rPr>
        <w:t>with</w:t>
      </w:r>
      <w:proofErr w:type="spellEnd"/>
      <w:r w:rsidR="00210B95" w:rsidRPr="001348E3">
        <w:rPr>
          <w:rFonts w:ascii="Calibri" w:hAnsi="Calibri" w:cs="Calibri"/>
          <w:kern w:val="0"/>
          <w:sz w:val="22"/>
          <w:szCs w:val="22"/>
          <w:lang w:eastAsia="de-DE"/>
        </w:rPr>
        <w:t xml:space="preserve"> </w:t>
      </w:r>
      <w:proofErr w:type="spellStart"/>
      <w:r w:rsidR="00210B95" w:rsidRPr="001348E3">
        <w:rPr>
          <w:rFonts w:ascii="Calibri" w:hAnsi="Calibri" w:cs="Calibri"/>
          <w:kern w:val="0"/>
          <w:sz w:val="22"/>
          <w:szCs w:val="22"/>
          <w:lang w:eastAsia="de-DE"/>
        </w:rPr>
        <w:t>pulmonary</w:t>
      </w:r>
      <w:proofErr w:type="spellEnd"/>
      <w:r w:rsidR="00210B95" w:rsidRPr="001348E3">
        <w:rPr>
          <w:rFonts w:ascii="Calibri" w:hAnsi="Calibri" w:cs="Calibri"/>
          <w:kern w:val="0"/>
          <w:sz w:val="22"/>
          <w:szCs w:val="22"/>
          <w:lang w:eastAsia="de-DE"/>
        </w:rPr>
        <w:t xml:space="preserve"> Candida </w:t>
      </w:r>
      <w:proofErr w:type="spellStart"/>
      <w:r w:rsidR="00210B95" w:rsidRPr="001348E3">
        <w:rPr>
          <w:rFonts w:ascii="Calibri" w:hAnsi="Calibri" w:cs="Calibri"/>
          <w:kern w:val="0"/>
          <w:sz w:val="22"/>
          <w:szCs w:val="22"/>
          <w:lang w:eastAsia="de-DE"/>
        </w:rPr>
        <w:t>spp</w:t>
      </w:r>
      <w:proofErr w:type="spellEnd"/>
      <w:r w:rsidR="00210B95" w:rsidRPr="001348E3">
        <w:rPr>
          <w:rFonts w:ascii="Calibri" w:hAnsi="Calibri" w:cs="Calibri"/>
          <w:kern w:val="0"/>
          <w:sz w:val="22"/>
          <w:szCs w:val="22"/>
          <w:lang w:eastAsia="de-DE"/>
        </w:rPr>
        <w:t xml:space="preserve">. </w:t>
      </w:r>
      <w:proofErr w:type="spellStart"/>
      <w:r w:rsidR="00210B95" w:rsidRPr="001348E3">
        <w:rPr>
          <w:rFonts w:ascii="Calibri" w:hAnsi="Calibri" w:cs="Calibri"/>
          <w:kern w:val="0"/>
          <w:sz w:val="22"/>
          <w:szCs w:val="22"/>
          <w:lang w:eastAsia="de-DE"/>
        </w:rPr>
        <w:t>Colonization</w:t>
      </w:r>
      <w:proofErr w:type="spellEnd"/>
      <w:r w:rsidR="00210B95" w:rsidRPr="001348E3">
        <w:rPr>
          <w:rFonts w:ascii="Calibri" w:hAnsi="Calibri" w:cs="Calibri"/>
          <w:kern w:val="0"/>
          <w:sz w:val="22"/>
          <w:szCs w:val="22"/>
          <w:lang w:eastAsia="de-DE"/>
        </w:rPr>
        <w:t xml:space="preserve"> </w:t>
      </w:r>
      <w:proofErr w:type="spellStart"/>
      <w:r w:rsidR="00210B95" w:rsidRPr="001348E3">
        <w:rPr>
          <w:rFonts w:ascii="Calibri" w:hAnsi="Calibri" w:cs="Calibri"/>
          <w:kern w:val="0"/>
          <w:sz w:val="22"/>
          <w:szCs w:val="22"/>
          <w:lang w:eastAsia="de-DE"/>
        </w:rPr>
        <w:t>may</w:t>
      </w:r>
      <w:proofErr w:type="spellEnd"/>
      <w:r w:rsidR="00210B95" w:rsidRPr="001348E3">
        <w:rPr>
          <w:rFonts w:ascii="Calibri" w:hAnsi="Calibri" w:cs="Calibri"/>
          <w:kern w:val="0"/>
          <w:sz w:val="22"/>
          <w:szCs w:val="22"/>
          <w:lang w:eastAsia="de-DE"/>
        </w:rPr>
        <w:t xml:space="preserve"> </w:t>
      </w:r>
      <w:proofErr w:type="spellStart"/>
      <w:r w:rsidR="00210B95" w:rsidRPr="001348E3">
        <w:rPr>
          <w:rFonts w:ascii="Calibri" w:hAnsi="Calibri" w:cs="Calibri"/>
          <w:kern w:val="0"/>
          <w:sz w:val="22"/>
          <w:szCs w:val="22"/>
          <w:lang w:eastAsia="de-DE"/>
        </w:rPr>
        <w:t>have</w:t>
      </w:r>
      <w:proofErr w:type="spellEnd"/>
      <w:r w:rsidR="00210B95" w:rsidRPr="001348E3">
        <w:rPr>
          <w:rFonts w:ascii="Calibri" w:hAnsi="Calibri" w:cs="Calibri"/>
          <w:kern w:val="0"/>
          <w:sz w:val="22"/>
          <w:szCs w:val="22"/>
          <w:lang w:eastAsia="de-DE"/>
        </w:rPr>
        <w:t xml:space="preserve"> </w:t>
      </w:r>
      <w:proofErr w:type="spellStart"/>
      <w:r w:rsidR="00210B95" w:rsidRPr="001348E3">
        <w:rPr>
          <w:rFonts w:ascii="Calibri" w:hAnsi="Calibri" w:cs="Calibri"/>
          <w:kern w:val="0"/>
          <w:sz w:val="22"/>
          <w:szCs w:val="22"/>
          <w:lang w:eastAsia="de-DE"/>
        </w:rPr>
        <w:t>no</w:t>
      </w:r>
      <w:proofErr w:type="spellEnd"/>
      <w:r w:rsidR="00210B95" w:rsidRPr="001348E3">
        <w:rPr>
          <w:rFonts w:ascii="Calibri" w:hAnsi="Calibri" w:cs="Calibri"/>
          <w:kern w:val="0"/>
          <w:sz w:val="22"/>
          <w:szCs w:val="22"/>
          <w:lang w:eastAsia="de-DE"/>
        </w:rPr>
        <w:t xml:space="preserve"> </w:t>
      </w:r>
      <w:proofErr w:type="spellStart"/>
      <w:r w:rsidR="00210B95" w:rsidRPr="001348E3">
        <w:rPr>
          <w:rFonts w:ascii="Calibri" w:hAnsi="Calibri" w:cs="Calibri"/>
          <w:kern w:val="0"/>
          <w:sz w:val="22"/>
          <w:szCs w:val="22"/>
          <w:lang w:eastAsia="de-DE"/>
        </w:rPr>
        <w:t>beneficial</w:t>
      </w:r>
      <w:proofErr w:type="spellEnd"/>
      <w:r w:rsidR="00210B95" w:rsidRPr="001348E3">
        <w:rPr>
          <w:rFonts w:ascii="Calibri" w:hAnsi="Calibri" w:cs="Calibri"/>
          <w:kern w:val="0"/>
          <w:sz w:val="22"/>
          <w:szCs w:val="22"/>
          <w:lang w:eastAsia="de-DE"/>
        </w:rPr>
        <w:t xml:space="preserve"> </w:t>
      </w:r>
      <w:proofErr w:type="spellStart"/>
      <w:r w:rsidR="00210B95" w:rsidRPr="001348E3">
        <w:rPr>
          <w:rFonts w:ascii="Calibri" w:hAnsi="Calibri" w:cs="Calibri"/>
          <w:kern w:val="0"/>
          <w:sz w:val="22"/>
          <w:szCs w:val="22"/>
          <w:lang w:eastAsia="de-DE"/>
        </w:rPr>
        <w:t>effects</w:t>
      </w:r>
      <w:proofErr w:type="spellEnd"/>
      <w:r w:rsidR="00210B95" w:rsidRPr="001348E3">
        <w:rPr>
          <w:rFonts w:ascii="Calibri" w:hAnsi="Calibri" w:cs="Calibri"/>
          <w:kern w:val="0"/>
          <w:sz w:val="22"/>
          <w:szCs w:val="22"/>
          <w:lang w:eastAsia="de-DE"/>
        </w:rPr>
        <w:t xml:space="preserve">. Journal </w:t>
      </w:r>
      <w:proofErr w:type="spellStart"/>
      <w:r w:rsidR="00210B95" w:rsidRPr="001348E3">
        <w:rPr>
          <w:rFonts w:ascii="Calibri" w:hAnsi="Calibri" w:cs="Calibri"/>
          <w:kern w:val="0"/>
          <w:sz w:val="22"/>
          <w:szCs w:val="22"/>
          <w:lang w:eastAsia="de-DE"/>
        </w:rPr>
        <w:t>of</w:t>
      </w:r>
      <w:proofErr w:type="spellEnd"/>
      <w:r w:rsidR="00210B95" w:rsidRPr="001348E3">
        <w:rPr>
          <w:rFonts w:ascii="Calibri" w:hAnsi="Calibri" w:cs="Calibri"/>
          <w:kern w:val="0"/>
          <w:sz w:val="22"/>
          <w:szCs w:val="22"/>
          <w:lang w:eastAsia="de-DE"/>
        </w:rPr>
        <w:t xml:space="preserve"> Intensive Care 2015; 31: 1–9.</w:t>
      </w:r>
    </w:p>
    <w:p w:rsidR="002C698C" w:rsidRPr="001348E3" w:rsidRDefault="002C698C" w:rsidP="002C698C">
      <w:pPr>
        <w:suppressAutoHyphens w:val="0"/>
        <w:jc w:val="left"/>
        <w:rPr>
          <w:rFonts w:ascii="Calibri" w:hAnsi="Calibri" w:cs="Calibri"/>
          <w:kern w:val="0"/>
          <w:sz w:val="22"/>
          <w:szCs w:val="22"/>
          <w:lang w:eastAsia="de-DE"/>
        </w:rPr>
      </w:pPr>
      <w:r w:rsidRPr="001348E3">
        <w:rPr>
          <w:rFonts w:ascii="Calibri" w:hAnsi="Calibri" w:cs="Calibri"/>
          <w:kern w:val="0"/>
          <w:sz w:val="22"/>
          <w:szCs w:val="22"/>
          <w:lang w:eastAsia="de-DE"/>
        </w:rPr>
        <w:t xml:space="preserve">25. Hayashi N, et al.: </w:t>
      </w:r>
      <w:proofErr w:type="spellStart"/>
      <w:r w:rsidRPr="001348E3">
        <w:rPr>
          <w:rFonts w:ascii="Calibri" w:hAnsi="Calibri" w:cs="Calibri"/>
          <w:kern w:val="0"/>
          <w:sz w:val="22"/>
          <w:szCs w:val="22"/>
          <w:lang w:eastAsia="de-DE"/>
        </w:rPr>
        <w:t>Prevalence</w:t>
      </w:r>
      <w:proofErr w:type="spellEnd"/>
      <w:r w:rsidRPr="001348E3">
        <w:rPr>
          <w:rFonts w:ascii="Calibri" w:hAnsi="Calibri" w:cs="Calibri"/>
          <w:kern w:val="0"/>
          <w:sz w:val="22"/>
          <w:szCs w:val="22"/>
          <w:lang w:eastAsia="de-DE"/>
        </w:rPr>
        <w:t xml:space="preserve"> </w:t>
      </w:r>
      <w:proofErr w:type="spellStart"/>
      <w:r w:rsidRPr="001348E3">
        <w:rPr>
          <w:rFonts w:ascii="Calibri" w:hAnsi="Calibri" w:cs="Calibri"/>
          <w:kern w:val="0"/>
          <w:sz w:val="22"/>
          <w:szCs w:val="22"/>
          <w:lang w:eastAsia="de-DE"/>
        </w:rPr>
        <w:t>of</w:t>
      </w:r>
      <w:proofErr w:type="spellEnd"/>
      <w:r w:rsidRPr="001348E3">
        <w:rPr>
          <w:rFonts w:ascii="Calibri" w:hAnsi="Calibri" w:cs="Calibri"/>
          <w:kern w:val="0"/>
          <w:sz w:val="22"/>
          <w:szCs w:val="22"/>
          <w:lang w:eastAsia="de-DE"/>
        </w:rPr>
        <w:t xml:space="preserve"> </w:t>
      </w:r>
      <w:proofErr w:type="spellStart"/>
      <w:r w:rsidRPr="001348E3">
        <w:rPr>
          <w:rFonts w:ascii="Calibri" w:hAnsi="Calibri" w:cs="Calibri"/>
          <w:kern w:val="0"/>
          <w:sz w:val="22"/>
          <w:szCs w:val="22"/>
          <w:lang w:eastAsia="de-DE"/>
        </w:rPr>
        <w:t>diseasespecific</w:t>
      </w:r>
      <w:proofErr w:type="spellEnd"/>
      <w:r w:rsidRPr="001348E3">
        <w:rPr>
          <w:rFonts w:ascii="Calibri" w:hAnsi="Calibri" w:cs="Calibri"/>
          <w:kern w:val="0"/>
          <w:sz w:val="22"/>
          <w:szCs w:val="22"/>
          <w:lang w:eastAsia="de-DE"/>
        </w:rPr>
        <w:t xml:space="preserve"> </w:t>
      </w:r>
      <w:proofErr w:type="spellStart"/>
      <w:r w:rsidRPr="001348E3">
        <w:rPr>
          <w:rFonts w:ascii="Calibri" w:hAnsi="Calibri" w:cs="Calibri"/>
          <w:kern w:val="0"/>
          <w:sz w:val="22"/>
          <w:szCs w:val="22"/>
          <w:lang w:eastAsia="de-DE"/>
        </w:rPr>
        <w:t>antinuclear</w:t>
      </w:r>
      <w:proofErr w:type="spellEnd"/>
      <w:r w:rsidRPr="001348E3">
        <w:rPr>
          <w:rFonts w:ascii="Calibri" w:hAnsi="Calibri" w:cs="Calibri"/>
          <w:kern w:val="0"/>
          <w:sz w:val="22"/>
          <w:szCs w:val="22"/>
          <w:lang w:eastAsia="de-DE"/>
        </w:rPr>
        <w:t xml:space="preserve"> </w:t>
      </w:r>
      <w:proofErr w:type="spellStart"/>
      <w:r w:rsidRPr="001348E3">
        <w:rPr>
          <w:rFonts w:ascii="Calibri" w:hAnsi="Calibri" w:cs="Calibri"/>
          <w:kern w:val="0"/>
          <w:sz w:val="22"/>
          <w:szCs w:val="22"/>
          <w:lang w:eastAsia="de-DE"/>
        </w:rPr>
        <w:t>antibodies</w:t>
      </w:r>
      <w:proofErr w:type="spellEnd"/>
      <w:r w:rsidRPr="001348E3">
        <w:rPr>
          <w:rFonts w:ascii="Calibri" w:hAnsi="Calibri" w:cs="Calibri"/>
          <w:kern w:val="0"/>
          <w:sz w:val="22"/>
          <w:szCs w:val="22"/>
          <w:lang w:eastAsia="de-DE"/>
        </w:rPr>
        <w:t xml:space="preserve"> in </w:t>
      </w:r>
      <w:proofErr w:type="spellStart"/>
      <w:r w:rsidRPr="001348E3">
        <w:rPr>
          <w:rFonts w:ascii="Calibri" w:hAnsi="Calibri" w:cs="Calibri"/>
          <w:kern w:val="0"/>
          <w:sz w:val="22"/>
          <w:szCs w:val="22"/>
          <w:lang w:eastAsia="de-DE"/>
        </w:rPr>
        <w:t>general</w:t>
      </w:r>
      <w:proofErr w:type="spellEnd"/>
      <w:r w:rsidRPr="001348E3">
        <w:rPr>
          <w:rFonts w:ascii="Calibri" w:hAnsi="Calibri" w:cs="Calibri"/>
          <w:kern w:val="0"/>
          <w:sz w:val="22"/>
          <w:szCs w:val="22"/>
          <w:lang w:eastAsia="de-DE"/>
        </w:rPr>
        <w:t xml:space="preserve"> </w:t>
      </w:r>
      <w:proofErr w:type="spellStart"/>
      <w:r w:rsidRPr="001348E3">
        <w:rPr>
          <w:rFonts w:ascii="Calibri" w:hAnsi="Calibri" w:cs="Calibri"/>
          <w:kern w:val="0"/>
          <w:sz w:val="22"/>
          <w:szCs w:val="22"/>
          <w:lang w:eastAsia="de-DE"/>
        </w:rPr>
        <w:t>population</w:t>
      </w:r>
      <w:proofErr w:type="spellEnd"/>
      <w:r w:rsidRPr="001348E3">
        <w:rPr>
          <w:rFonts w:ascii="Calibri" w:hAnsi="Calibri" w:cs="Calibri"/>
          <w:kern w:val="0"/>
          <w:sz w:val="22"/>
          <w:szCs w:val="22"/>
          <w:lang w:eastAsia="de-DE"/>
        </w:rPr>
        <w:t xml:space="preserve">: </w:t>
      </w:r>
      <w:proofErr w:type="spellStart"/>
      <w:r w:rsidRPr="001348E3">
        <w:rPr>
          <w:rFonts w:ascii="Calibri" w:hAnsi="Calibri" w:cs="Calibri"/>
          <w:kern w:val="0"/>
          <w:sz w:val="22"/>
          <w:szCs w:val="22"/>
          <w:lang w:eastAsia="de-DE"/>
        </w:rPr>
        <w:t>estimates</w:t>
      </w:r>
      <w:proofErr w:type="spellEnd"/>
      <w:r w:rsidRPr="001348E3">
        <w:rPr>
          <w:rFonts w:ascii="Calibri" w:hAnsi="Calibri" w:cs="Calibri"/>
          <w:kern w:val="0"/>
          <w:sz w:val="22"/>
          <w:szCs w:val="22"/>
          <w:lang w:eastAsia="de-DE"/>
        </w:rPr>
        <w:t xml:space="preserve"> </w:t>
      </w:r>
      <w:proofErr w:type="spellStart"/>
      <w:r w:rsidRPr="001348E3">
        <w:rPr>
          <w:rFonts w:ascii="Calibri" w:hAnsi="Calibri" w:cs="Calibri"/>
          <w:kern w:val="0"/>
          <w:sz w:val="22"/>
          <w:szCs w:val="22"/>
          <w:lang w:eastAsia="de-DE"/>
        </w:rPr>
        <w:t>from</w:t>
      </w:r>
      <w:proofErr w:type="spellEnd"/>
      <w:r w:rsidRPr="001348E3">
        <w:rPr>
          <w:rFonts w:ascii="Calibri" w:hAnsi="Calibri" w:cs="Calibri"/>
          <w:kern w:val="0"/>
          <w:sz w:val="22"/>
          <w:szCs w:val="22"/>
          <w:lang w:eastAsia="de-DE"/>
        </w:rPr>
        <w:t xml:space="preserve"> annual </w:t>
      </w:r>
      <w:proofErr w:type="spellStart"/>
      <w:r w:rsidRPr="001348E3">
        <w:rPr>
          <w:rFonts w:ascii="Calibri" w:hAnsi="Calibri" w:cs="Calibri"/>
          <w:kern w:val="0"/>
          <w:sz w:val="22"/>
          <w:szCs w:val="22"/>
          <w:lang w:eastAsia="de-DE"/>
        </w:rPr>
        <w:t>physical</w:t>
      </w:r>
      <w:proofErr w:type="spellEnd"/>
      <w:r w:rsidRPr="001348E3">
        <w:rPr>
          <w:rFonts w:ascii="Calibri" w:hAnsi="Calibri" w:cs="Calibri"/>
          <w:kern w:val="0"/>
          <w:sz w:val="22"/>
          <w:szCs w:val="22"/>
          <w:lang w:eastAsia="de-DE"/>
        </w:rPr>
        <w:t xml:space="preserve"> </w:t>
      </w:r>
      <w:proofErr w:type="spellStart"/>
      <w:r w:rsidRPr="001348E3">
        <w:rPr>
          <w:rFonts w:ascii="Calibri" w:hAnsi="Calibri" w:cs="Calibri"/>
          <w:kern w:val="0"/>
          <w:sz w:val="22"/>
          <w:szCs w:val="22"/>
          <w:lang w:eastAsia="de-DE"/>
        </w:rPr>
        <w:t>examinations</w:t>
      </w:r>
      <w:proofErr w:type="spellEnd"/>
      <w:r w:rsidRPr="001348E3">
        <w:rPr>
          <w:rFonts w:ascii="Calibri" w:hAnsi="Calibri" w:cs="Calibri"/>
          <w:kern w:val="0"/>
          <w:sz w:val="22"/>
          <w:szCs w:val="22"/>
          <w:lang w:eastAsia="de-DE"/>
        </w:rPr>
        <w:t xml:space="preserve"> </w:t>
      </w:r>
      <w:proofErr w:type="spellStart"/>
      <w:r w:rsidRPr="001348E3">
        <w:rPr>
          <w:rFonts w:ascii="Calibri" w:hAnsi="Calibri" w:cs="Calibri"/>
          <w:kern w:val="0"/>
          <w:sz w:val="22"/>
          <w:szCs w:val="22"/>
          <w:lang w:eastAsia="de-DE"/>
        </w:rPr>
        <w:t>of</w:t>
      </w:r>
      <w:proofErr w:type="spellEnd"/>
      <w:r w:rsidRPr="001348E3">
        <w:rPr>
          <w:rFonts w:ascii="Calibri" w:hAnsi="Calibri" w:cs="Calibri"/>
          <w:kern w:val="0"/>
          <w:sz w:val="22"/>
          <w:szCs w:val="22"/>
          <w:lang w:eastAsia="de-DE"/>
        </w:rPr>
        <w:t xml:space="preserve"> </w:t>
      </w:r>
      <w:proofErr w:type="spellStart"/>
      <w:r w:rsidRPr="001348E3">
        <w:rPr>
          <w:rFonts w:ascii="Calibri" w:hAnsi="Calibri" w:cs="Calibri"/>
          <w:kern w:val="0"/>
          <w:sz w:val="22"/>
          <w:szCs w:val="22"/>
          <w:lang w:eastAsia="de-DE"/>
        </w:rPr>
        <w:t>residents</w:t>
      </w:r>
      <w:proofErr w:type="spellEnd"/>
      <w:r w:rsidRPr="001348E3">
        <w:rPr>
          <w:rFonts w:ascii="Calibri" w:hAnsi="Calibri" w:cs="Calibri"/>
          <w:kern w:val="0"/>
          <w:sz w:val="22"/>
          <w:szCs w:val="22"/>
          <w:lang w:eastAsia="de-DE"/>
        </w:rPr>
        <w:t xml:space="preserve"> </w:t>
      </w:r>
      <w:proofErr w:type="spellStart"/>
      <w:r w:rsidRPr="001348E3">
        <w:rPr>
          <w:rFonts w:ascii="Calibri" w:hAnsi="Calibri" w:cs="Calibri"/>
          <w:kern w:val="0"/>
          <w:sz w:val="22"/>
          <w:szCs w:val="22"/>
          <w:lang w:eastAsia="de-DE"/>
        </w:rPr>
        <w:t>of</w:t>
      </w:r>
      <w:proofErr w:type="spellEnd"/>
      <w:r w:rsidRPr="001348E3">
        <w:rPr>
          <w:rFonts w:ascii="Calibri" w:hAnsi="Calibri" w:cs="Calibri"/>
          <w:kern w:val="0"/>
          <w:sz w:val="22"/>
          <w:szCs w:val="22"/>
          <w:lang w:eastAsia="de-DE"/>
        </w:rPr>
        <w:t xml:space="preserve"> a </w:t>
      </w:r>
      <w:proofErr w:type="spellStart"/>
      <w:r w:rsidRPr="001348E3">
        <w:rPr>
          <w:rFonts w:ascii="Calibri" w:hAnsi="Calibri" w:cs="Calibri"/>
          <w:kern w:val="0"/>
          <w:sz w:val="22"/>
          <w:szCs w:val="22"/>
          <w:lang w:eastAsia="de-DE"/>
        </w:rPr>
        <w:t>small</w:t>
      </w:r>
      <w:proofErr w:type="spellEnd"/>
      <w:r w:rsidRPr="001348E3">
        <w:rPr>
          <w:rFonts w:ascii="Calibri" w:hAnsi="Calibri" w:cs="Calibri"/>
          <w:kern w:val="0"/>
          <w:sz w:val="22"/>
          <w:szCs w:val="22"/>
          <w:lang w:eastAsia="de-DE"/>
        </w:rPr>
        <w:t xml:space="preserve"> </w:t>
      </w:r>
      <w:proofErr w:type="spellStart"/>
      <w:r w:rsidRPr="001348E3">
        <w:rPr>
          <w:rFonts w:ascii="Calibri" w:hAnsi="Calibri" w:cs="Calibri"/>
          <w:kern w:val="0"/>
          <w:sz w:val="22"/>
          <w:szCs w:val="22"/>
          <w:lang w:eastAsia="de-DE"/>
        </w:rPr>
        <w:t>town</w:t>
      </w:r>
      <w:proofErr w:type="spellEnd"/>
      <w:r w:rsidRPr="001348E3">
        <w:rPr>
          <w:rFonts w:ascii="Calibri" w:hAnsi="Calibri" w:cs="Calibri"/>
          <w:kern w:val="0"/>
          <w:sz w:val="22"/>
          <w:szCs w:val="22"/>
          <w:lang w:eastAsia="de-DE"/>
        </w:rPr>
        <w:t xml:space="preserve"> </w:t>
      </w:r>
      <w:proofErr w:type="spellStart"/>
      <w:r w:rsidRPr="001348E3">
        <w:rPr>
          <w:rFonts w:ascii="Calibri" w:hAnsi="Calibri" w:cs="Calibri"/>
          <w:kern w:val="0"/>
          <w:sz w:val="22"/>
          <w:szCs w:val="22"/>
          <w:lang w:eastAsia="de-DE"/>
        </w:rPr>
        <w:t>over</w:t>
      </w:r>
      <w:proofErr w:type="spellEnd"/>
      <w:r w:rsidRPr="001348E3">
        <w:rPr>
          <w:rFonts w:ascii="Calibri" w:hAnsi="Calibri" w:cs="Calibri"/>
          <w:kern w:val="0"/>
          <w:sz w:val="22"/>
          <w:szCs w:val="22"/>
          <w:lang w:eastAsia="de-DE"/>
        </w:rPr>
        <w:t xml:space="preserve"> a 5-year </w:t>
      </w:r>
      <w:proofErr w:type="spellStart"/>
      <w:r w:rsidRPr="001348E3">
        <w:rPr>
          <w:rFonts w:ascii="Calibri" w:hAnsi="Calibri" w:cs="Calibri"/>
          <w:kern w:val="0"/>
          <w:sz w:val="22"/>
          <w:szCs w:val="22"/>
          <w:lang w:eastAsia="de-DE"/>
        </w:rPr>
        <w:t>period</w:t>
      </w:r>
      <w:proofErr w:type="spellEnd"/>
      <w:r w:rsidRPr="001348E3">
        <w:rPr>
          <w:rFonts w:ascii="Calibri" w:hAnsi="Calibri" w:cs="Calibri"/>
          <w:kern w:val="0"/>
          <w:sz w:val="22"/>
          <w:szCs w:val="22"/>
          <w:lang w:eastAsia="de-DE"/>
        </w:rPr>
        <w:t xml:space="preserve">. </w:t>
      </w:r>
      <w:proofErr w:type="spellStart"/>
      <w:r w:rsidRPr="001348E3">
        <w:rPr>
          <w:rFonts w:ascii="Calibri" w:hAnsi="Calibri" w:cs="Calibri"/>
          <w:kern w:val="0"/>
          <w:sz w:val="22"/>
          <w:szCs w:val="22"/>
          <w:lang w:eastAsia="de-DE"/>
        </w:rPr>
        <w:t>Mod</w:t>
      </w:r>
      <w:proofErr w:type="spellEnd"/>
      <w:r w:rsidRPr="001348E3">
        <w:rPr>
          <w:rFonts w:ascii="Calibri" w:hAnsi="Calibri" w:cs="Calibri"/>
          <w:kern w:val="0"/>
          <w:sz w:val="22"/>
          <w:szCs w:val="22"/>
          <w:lang w:eastAsia="de-DE"/>
        </w:rPr>
        <w:t xml:space="preserve"> </w:t>
      </w:r>
      <w:proofErr w:type="spellStart"/>
      <w:r w:rsidRPr="001348E3">
        <w:rPr>
          <w:rFonts w:ascii="Calibri" w:hAnsi="Calibri" w:cs="Calibri"/>
          <w:kern w:val="0"/>
          <w:sz w:val="22"/>
          <w:szCs w:val="22"/>
          <w:lang w:eastAsia="de-DE"/>
        </w:rPr>
        <w:t>Rheumatol</w:t>
      </w:r>
      <w:proofErr w:type="spellEnd"/>
      <w:r w:rsidRPr="001348E3">
        <w:rPr>
          <w:rFonts w:ascii="Calibri" w:hAnsi="Calibri" w:cs="Calibri"/>
          <w:kern w:val="0"/>
          <w:sz w:val="22"/>
          <w:szCs w:val="22"/>
          <w:lang w:eastAsia="de-DE"/>
        </w:rPr>
        <w:t xml:space="preserve"> 2008; 18: 153–60. </w:t>
      </w:r>
    </w:p>
    <w:p w:rsidR="002C698C" w:rsidRPr="001348E3" w:rsidRDefault="002C698C" w:rsidP="002C698C">
      <w:pPr>
        <w:suppressAutoHyphens w:val="0"/>
        <w:jc w:val="left"/>
        <w:rPr>
          <w:rFonts w:ascii="Calibri" w:hAnsi="Calibri" w:cs="Calibri"/>
          <w:kern w:val="0"/>
          <w:sz w:val="22"/>
          <w:szCs w:val="22"/>
          <w:lang w:eastAsia="de-DE"/>
        </w:rPr>
      </w:pPr>
      <w:r w:rsidRPr="001348E3">
        <w:rPr>
          <w:rFonts w:ascii="Calibri" w:hAnsi="Calibri" w:cs="Calibri"/>
          <w:kern w:val="0"/>
          <w:sz w:val="22"/>
          <w:szCs w:val="22"/>
          <w:lang w:eastAsia="de-DE"/>
        </w:rPr>
        <w:t xml:space="preserve">26. </w:t>
      </w:r>
      <w:proofErr w:type="spellStart"/>
      <w:r w:rsidRPr="001348E3">
        <w:rPr>
          <w:rFonts w:ascii="Calibri" w:hAnsi="Calibri" w:cs="Calibri"/>
          <w:kern w:val="0"/>
          <w:sz w:val="22"/>
          <w:szCs w:val="22"/>
          <w:lang w:eastAsia="de-DE"/>
        </w:rPr>
        <w:t>Maillefert</w:t>
      </w:r>
      <w:proofErr w:type="spellEnd"/>
      <w:r w:rsidRPr="001348E3">
        <w:rPr>
          <w:rFonts w:ascii="Calibri" w:hAnsi="Calibri" w:cs="Calibri"/>
          <w:kern w:val="0"/>
          <w:sz w:val="22"/>
          <w:szCs w:val="22"/>
          <w:lang w:eastAsia="de-DE"/>
        </w:rPr>
        <w:t xml:space="preserve"> JF, et al.: </w:t>
      </w:r>
      <w:proofErr w:type="spellStart"/>
      <w:r w:rsidRPr="001348E3">
        <w:rPr>
          <w:rFonts w:ascii="Calibri" w:hAnsi="Calibri" w:cs="Calibri"/>
          <w:kern w:val="0"/>
          <w:sz w:val="22"/>
          <w:szCs w:val="22"/>
          <w:lang w:eastAsia="de-DE"/>
        </w:rPr>
        <w:t>Prevalence</w:t>
      </w:r>
      <w:proofErr w:type="spellEnd"/>
      <w:r w:rsidRPr="001348E3">
        <w:rPr>
          <w:rFonts w:ascii="Calibri" w:hAnsi="Calibri" w:cs="Calibri"/>
          <w:kern w:val="0"/>
          <w:sz w:val="22"/>
          <w:szCs w:val="22"/>
          <w:lang w:eastAsia="de-DE"/>
        </w:rPr>
        <w:t xml:space="preserve"> </w:t>
      </w:r>
      <w:proofErr w:type="spellStart"/>
      <w:r w:rsidRPr="001348E3">
        <w:rPr>
          <w:rFonts w:ascii="Calibri" w:hAnsi="Calibri" w:cs="Calibri"/>
          <w:kern w:val="0"/>
          <w:sz w:val="22"/>
          <w:szCs w:val="22"/>
          <w:lang w:eastAsia="de-DE"/>
        </w:rPr>
        <w:t>of</w:t>
      </w:r>
      <w:proofErr w:type="spellEnd"/>
      <w:r w:rsidRPr="001348E3">
        <w:rPr>
          <w:rFonts w:ascii="Calibri" w:hAnsi="Calibri" w:cs="Calibri"/>
          <w:kern w:val="0"/>
          <w:sz w:val="22"/>
          <w:szCs w:val="22"/>
          <w:lang w:eastAsia="de-DE"/>
        </w:rPr>
        <w:t xml:space="preserve"> ANCA in a </w:t>
      </w:r>
      <w:proofErr w:type="spellStart"/>
      <w:r w:rsidRPr="001348E3">
        <w:rPr>
          <w:rFonts w:ascii="Calibri" w:hAnsi="Calibri" w:cs="Calibri"/>
          <w:kern w:val="0"/>
          <w:sz w:val="22"/>
          <w:szCs w:val="22"/>
          <w:lang w:eastAsia="de-DE"/>
        </w:rPr>
        <w:t>hospitalized</w:t>
      </w:r>
      <w:proofErr w:type="spellEnd"/>
      <w:r w:rsidRPr="001348E3">
        <w:rPr>
          <w:rFonts w:ascii="Calibri" w:hAnsi="Calibri" w:cs="Calibri"/>
          <w:kern w:val="0"/>
          <w:sz w:val="22"/>
          <w:szCs w:val="22"/>
          <w:lang w:eastAsia="de-DE"/>
        </w:rPr>
        <w:t xml:space="preserve"> </w:t>
      </w:r>
      <w:proofErr w:type="spellStart"/>
      <w:r w:rsidRPr="001348E3">
        <w:rPr>
          <w:rFonts w:ascii="Calibri" w:hAnsi="Calibri" w:cs="Calibri"/>
          <w:kern w:val="0"/>
          <w:sz w:val="22"/>
          <w:szCs w:val="22"/>
          <w:lang w:eastAsia="de-DE"/>
        </w:rPr>
        <w:t>elderly</w:t>
      </w:r>
      <w:proofErr w:type="spellEnd"/>
      <w:r w:rsidRPr="001348E3">
        <w:rPr>
          <w:rFonts w:ascii="Calibri" w:hAnsi="Calibri" w:cs="Calibri"/>
          <w:kern w:val="0"/>
          <w:sz w:val="22"/>
          <w:szCs w:val="22"/>
          <w:lang w:eastAsia="de-DE"/>
        </w:rPr>
        <w:t xml:space="preserve"> French </w:t>
      </w:r>
      <w:proofErr w:type="spellStart"/>
      <w:r w:rsidRPr="001348E3">
        <w:rPr>
          <w:rFonts w:ascii="Calibri" w:hAnsi="Calibri" w:cs="Calibri"/>
          <w:kern w:val="0"/>
          <w:sz w:val="22"/>
          <w:szCs w:val="22"/>
          <w:lang w:eastAsia="de-DE"/>
        </w:rPr>
        <w:t>population</w:t>
      </w:r>
      <w:proofErr w:type="spellEnd"/>
      <w:r w:rsidRPr="001348E3">
        <w:rPr>
          <w:rFonts w:ascii="Calibri" w:hAnsi="Calibri" w:cs="Calibri"/>
          <w:kern w:val="0"/>
          <w:sz w:val="22"/>
          <w:szCs w:val="22"/>
          <w:lang w:eastAsia="de-DE"/>
        </w:rPr>
        <w:t xml:space="preserve">. </w:t>
      </w:r>
      <w:proofErr w:type="spellStart"/>
      <w:r w:rsidRPr="001348E3">
        <w:rPr>
          <w:rFonts w:ascii="Calibri" w:hAnsi="Calibri" w:cs="Calibri"/>
          <w:kern w:val="0"/>
          <w:sz w:val="22"/>
          <w:szCs w:val="22"/>
          <w:lang w:eastAsia="de-DE"/>
        </w:rPr>
        <w:t>Clin</w:t>
      </w:r>
      <w:proofErr w:type="spellEnd"/>
      <w:r w:rsidRPr="001348E3">
        <w:rPr>
          <w:rFonts w:ascii="Calibri" w:hAnsi="Calibri" w:cs="Calibri"/>
          <w:kern w:val="0"/>
          <w:sz w:val="22"/>
          <w:szCs w:val="22"/>
          <w:lang w:eastAsia="de-DE"/>
        </w:rPr>
        <w:t xml:space="preserve"> </w:t>
      </w:r>
      <w:proofErr w:type="spellStart"/>
      <w:r w:rsidRPr="001348E3">
        <w:rPr>
          <w:rFonts w:ascii="Calibri" w:hAnsi="Calibri" w:cs="Calibri"/>
          <w:kern w:val="0"/>
          <w:sz w:val="22"/>
          <w:szCs w:val="22"/>
          <w:lang w:eastAsia="de-DE"/>
        </w:rPr>
        <w:t>Exp</w:t>
      </w:r>
      <w:proofErr w:type="spellEnd"/>
      <w:r w:rsidRPr="001348E3">
        <w:rPr>
          <w:rFonts w:ascii="Calibri" w:hAnsi="Calibri" w:cs="Calibri"/>
          <w:kern w:val="0"/>
          <w:sz w:val="22"/>
          <w:szCs w:val="22"/>
          <w:lang w:eastAsia="de-DE"/>
        </w:rPr>
        <w:t xml:space="preserve"> </w:t>
      </w:r>
      <w:proofErr w:type="spellStart"/>
      <w:r w:rsidRPr="001348E3">
        <w:rPr>
          <w:rFonts w:ascii="Calibri" w:hAnsi="Calibri" w:cs="Calibri"/>
          <w:kern w:val="0"/>
          <w:sz w:val="22"/>
          <w:szCs w:val="22"/>
          <w:lang w:eastAsia="de-DE"/>
        </w:rPr>
        <w:t>Rheumatol</w:t>
      </w:r>
      <w:proofErr w:type="spellEnd"/>
      <w:r w:rsidRPr="001348E3">
        <w:rPr>
          <w:rFonts w:ascii="Calibri" w:hAnsi="Calibri" w:cs="Calibri"/>
          <w:kern w:val="0"/>
          <w:sz w:val="22"/>
          <w:szCs w:val="22"/>
          <w:lang w:eastAsia="de-DE"/>
        </w:rPr>
        <w:t xml:space="preserve"> 1997; 15: 603–7. </w:t>
      </w:r>
    </w:p>
    <w:p w:rsidR="001F724F" w:rsidRPr="001348E3" w:rsidRDefault="002C698C" w:rsidP="002C698C">
      <w:pPr>
        <w:suppressAutoHyphens w:val="0"/>
        <w:jc w:val="left"/>
        <w:rPr>
          <w:rFonts w:ascii="Calibri" w:hAnsi="Calibri" w:cs="Calibri"/>
          <w:kern w:val="0"/>
          <w:sz w:val="22"/>
          <w:szCs w:val="22"/>
          <w:lang w:eastAsia="de-DE"/>
        </w:rPr>
      </w:pPr>
      <w:r w:rsidRPr="001348E3">
        <w:rPr>
          <w:rFonts w:ascii="Calibri" w:hAnsi="Calibri" w:cs="Calibri"/>
          <w:kern w:val="0"/>
          <w:sz w:val="22"/>
          <w:szCs w:val="22"/>
          <w:lang w:eastAsia="de-DE"/>
        </w:rPr>
        <w:t xml:space="preserve">27. Shi W, et al.: </w:t>
      </w:r>
      <w:proofErr w:type="spellStart"/>
      <w:r w:rsidRPr="001348E3">
        <w:rPr>
          <w:rFonts w:ascii="Calibri" w:hAnsi="Calibri" w:cs="Calibri"/>
          <w:kern w:val="0"/>
          <w:sz w:val="22"/>
          <w:szCs w:val="22"/>
          <w:lang w:eastAsia="de-DE"/>
        </w:rPr>
        <w:t>Prevalence</w:t>
      </w:r>
      <w:proofErr w:type="spellEnd"/>
      <w:r w:rsidRPr="001348E3">
        <w:rPr>
          <w:rFonts w:ascii="Calibri" w:hAnsi="Calibri" w:cs="Calibri"/>
          <w:kern w:val="0"/>
          <w:sz w:val="22"/>
          <w:szCs w:val="22"/>
          <w:lang w:eastAsia="de-DE"/>
        </w:rPr>
        <w:t xml:space="preserve"> </w:t>
      </w:r>
      <w:proofErr w:type="spellStart"/>
      <w:r w:rsidRPr="001348E3">
        <w:rPr>
          <w:rFonts w:ascii="Calibri" w:hAnsi="Calibri" w:cs="Calibri"/>
          <w:kern w:val="0"/>
          <w:sz w:val="22"/>
          <w:szCs w:val="22"/>
          <w:lang w:eastAsia="de-DE"/>
        </w:rPr>
        <w:t>of</w:t>
      </w:r>
      <w:proofErr w:type="spellEnd"/>
      <w:r w:rsidRPr="001348E3">
        <w:rPr>
          <w:rFonts w:ascii="Calibri" w:hAnsi="Calibri" w:cs="Calibri"/>
          <w:kern w:val="0"/>
          <w:sz w:val="22"/>
          <w:szCs w:val="22"/>
          <w:lang w:eastAsia="de-DE"/>
        </w:rPr>
        <w:t xml:space="preserve"> </w:t>
      </w:r>
      <w:proofErr w:type="spellStart"/>
      <w:r w:rsidRPr="001348E3">
        <w:rPr>
          <w:rFonts w:ascii="Calibri" w:hAnsi="Calibri" w:cs="Calibri"/>
          <w:kern w:val="0"/>
          <w:sz w:val="22"/>
          <w:szCs w:val="22"/>
          <w:lang w:eastAsia="de-DE"/>
        </w:rPr>
        <w:t>lupus</w:t>
      </w:r>
      <w:proofErr w:type="spellEnd"/>
      <w:r w:rsidRPr="001348E3">
        <w:rPr>
          <w:rFonts w:ascii="Calibri" w:hAnsi="Calibri" w:cs="Calibri"/>
          <w:kern w:val="0"/>
          <w:sz w:val="22"/>
          <w:szCs w:val="22"/>
          <w:lang w:eastAsia="de-DE"/>
        </w:rPr>
        <w:t xml:space="preserve"> </w:t>
      </w:r>
      <w:proofErr w:type="spellStart"/>
      <w:r w:rsidRPr="001348E3">
        <w:rPr>
          <w:rFonts w:ascii="Calibri" w:hAnsi="Calibri" w:cs="Calibri"/>
          <w:kern w:val="0"/>
          <w:sz w:val="22"/>
          <w:szCs w:val="22"/>
          <w:lang w:eastAsia="de-DE"/>
        </w:rPr>
        <w:t>anticoagulant</w:t>
      </w:r>
      <w:proofErr w:type="spellEnd"/>
      <w:r w:rsidRPr="001348E3">
        <w:rPr>
          <w:rFonts w:ascii="Calibri" w:hAnsi="Calibri" w:cs="Calibri"/>
          <w:kern w:val="0"/>
          <w:sz w:val="22"/>
          <w:szCs w:val="22"/>
          <w:lang w:eastAsia="de-DE"/>
        </w:rPr>
        <w:t xml:space="preserve"> and </w:t>
      </w:r>
      <w:proofErr w:type="spellStart"/>
      <w:r w:rsidRPr="001348E3">
        <w:rPr>
          <w:rFonts w:ascii="Calibri" w:hAnsi="Calibri" w:cs="Calibri"/>
          <w:kern w:val="0"/>
          <w:sz w:val="22"/>
          <w:szCs w:val="22"/>
          <w:lang w:eastAsia="de-DE"/>
        </w:rPr>
        <w:t>anticardiolipin</w:t>
      </w:r>
      <w:proofErr w:type="spellEnd"/>
      <w:r w:rsidRPr="001348E3">
        <w:rPr>
          <w:rFonts w:ascii="Calibri" w:hAnsi="Calibri" w:cs="Calibri"/>
          <w:kern w:val="0"/>
          <w:sz w:val="22"/>
          <w:szCs w:val="22"/>
          <w:lang w:eastAsia="de-DE"/>
        </w:rPr>
        <w:t xml:space="preserve"> </w:t>
      </w:r>
      <w:proofErr w:type="spellStart"/>
      <w:r w:rsidRPr="001348E3">
        <w:rPr>
          <w:rFonts w:ascii="Calibri" w:hAnsi="Calibri" w:cs="Calibri"/>
          <w:kern w:val="0"/>
          <w:sz w:val="22"/>
          <w:szCs w:val="22"/>
          <w:lang w:eastAsia="de-DE"/>
        </w:rPr>
        <w:t>antibodies</w:t>
      </w:r>
      <w:proofErr w:type="spellEnd"/>
      <w:r w:rsidRPr="001348E3">
        <w:rPr>
          <w:rFonts w:ascii="Calibri" w:hAnsi="Calibri" w:cs="Calibri"/>
          <w:kern w:val="0"/>
          <w:sz w:val="22"/>
          <w:szCs w:val="22"/>
          <w:lang w:eastAsia="de-DE"/>
        </w:rPr>
        <w:t xml:space="preserve"> in a </w:t>
      </w:r>
      <w:proofErr w:type="spellStart"/>
      <w:r w:rsidRPr="001348E3">
        <w:rPr>
          <w:rFonts w:ascii="Calibri" w:hAnsi="Calibri" w:cs="Calibri"/>
          <w:kern w:val="0"/>
          <w:sz w:val="22"/>
          <w:szCs w:val="22"/>
          <w:lang w:eastAsia="de-DE"/>
        </w:rPr>
        <w:t>healthy</w:t>
      </w:r>
      <w:proofErr w:type="spellEnd"/>
      <w:r w:rsidRPr="001348E3">
        <w:rPr>
          <w:rFonts w:ascii="Calibri" w:hAnsi="Calibri" w:cs="Calibri"/>
          <w:kern w:val="0"/>
          <w:sz w:val="22"/>
          <w:szCs w:val="22"/>
          <w:lang w:eastAsia="de-DE"/>
        </w:rPr>
        <w:t xml:space="preserve"> </w:t>
      </w:r>
      <w:proofErr w:type="spellStart"/>
      <w:r w:rsidRPr="001348E3">
        <w:rPr>
          <w:rFonts w:ascii="Calibri" w:hAnsi="Calibri" w:cs="Calibri"/>
          <w:kern w:val="0"/>
          <w:sz w:val="22"/>
          <w:szCs w:val="22"/>
          <w:lang w:eastAsia="de-DE"/>
        </w:rPr>
        <w:t>population</w:t>
      </w:r>
      <w:proofErr w:type="spellEnd"/>
      <w:r w:rsidRPr="001348E3">
        <w:rPr>
          <w:rFonts w:ascii="Calibri" w:hAnsi="Calibri" w:cs="Calibri"/>
          <w:kern w:val="0"/>
          <w:sz w:val="22"/>
          <w:szCs w:val="22"/>
          <w:lang w:eastAsia="de-DE"/>
        </w:rPr>
        <w:t xml:space="preserve">. Aust N Z J </w:t>
      </w:r>
      <w:proofErr w:type="spellStart"/>
      <w:r w:rsidRPr="001348E3">
        <w:rPr>
          <w:rFonts w:ascii="Calibri" w:hAnsi="Calibri" w:cs="Calibri"/>
          <w:kern w:val="0"/>
          <w:sz w:val="22"/>
          <w:szCs w:val="22"/>
          <w:lang w:eastAsia="de-DE"/>
        </w:rPr>
        <w:t>Med</w:t>
      </w:r>
      <w:proofErr w:type="spellEnd"/>
      <w:r w:rsidRPr="001348E3">
        <w:rPr>
          <w:rFonts w:ascii="Calibri" w:hAnsi="Calibri" w:cs="Calibri"/>
          <w:kern w:val="0"/>
          <w:sz w:val="22"/>
          <w:szCs w:val="22"/>
          <w:lang w:eastAsia="de-DE"/>
        </w:rPr>
        <w:t xml:space="preserve"> 1990; 20: 231–4.</w:t>
      </w:r>
    </w:p>
    <w:p w:rsidR="00004C75" w:rsidRPr="001348E3" w:rsidRDefault="00004C75" w:rsidP="00004C75">
      <w:pPr>
        <w:pStyle w:val="StandardWeb"/>
        <w:spacing w:before="0" w:beforeAutospacing="0" w:after="0" w:afterAutospacing="0"/>
        <w:rPr>
          <w:rFonts w:ascii="Calibri" w:hAnsi="Calibri" w:cs="Calibri"/>
          <w:sz w:val="22"/>
          <w:szCs w:val="22"/>
        </w:rPr>
      </w:pPr>
      <w:r w:rsidRPr="001348E3">
        <w:rPr>
          <w:rFonts w:ascii="Calibri" w:hAnsi="Calibri" w:cs="Calibri"/>
          <w:sz w:val="22"/>
          <w:szCs w:val="22"/>
        </w:rPr>
        <w:t xml:space="preserve">28. Drucker AM, </w:t>
      </w:r>
      <w:proofErr w:type="spellStart"/>
      <w:r w:rsidRPr="001348E3">
        <w:rPr>
          <w:rFonts w:ascii="Calibri" w:hAnsi="Calibri" w:cs="Calibri"/>
          <w:sz w:val="22"/>
          <w:szCs w:val="22"/>
        </w:rPr>
        <w:t>Eyerich</w:t>
      </w:r>
      <w:proofErr w:type="spellEnd"/>
      <w:r w:rsidRPr="001348E3">
        <w:rPr>
          <w:rFonts w:ascii="Calibri" w:hAnsi="Calibri" w:cs="Calibri"/>
          <w:sz w:val="22"/>
          <w:szCs w:val="22"/>
        </w:rPr>
        <w:t xml:space="preserve"> K, de </w:t>
      </w:r>
      <w:proofErr w:type="spellStart"/>
      <w:r w:rsidRPr="001348E3">
        <w:rPr>
          <w:rFonts w:ascii="Calibri" w:hAnsi="Calibri" w:cs="Calibri"/>
          <w:sz w:val="22"/>
          <w:szCs w:val="22"/>
        </w:rPr>
        <w:t>Bruin</w:t>
      </w:r>
      <w:proofErr w:type="spellEnd"/>
      <w:r w:rsidRPr="001348E3">
        <w:rPr>
          <w:rFonts w:ascii="Calibri" w:hAnsi="Calibri" w:cs="Calibri"/>
          <w:sz w:val="22"/>
          <w:szCs w:val="22"/>
        </w:rPr>
        <w:t xml:space="preserve">-Weller MS, et al. Use </w:t>
      </w:r>
      <w:proofErr w:type="spellStart"/>
      <w:r w:rsidRPr="001348E3">
        <w:rPr>
          <w:rFonts w:ascii="Calibri" w:hAnsi="Calibri" w:cs="Calibri"/>
          <w:sz w:val="22"/>
          <w:szCs w:val="22"/>
        </w:rPr>
        <w:t>of</w:t>
      </w:r>
      <w:proofErr w:type="spellEnd"/>
      <w:r w:rsidRPr="001348E3">
        <w:rPr>
          <w:rFonts w:ascii="Calibri" w:hAnsi="Calibri" w:cs="Calibri"/>
          <w:sz w:val="22"/>
          <w:szCs w:val="22"/>
        </w:rPr>
        <w:t xml:space="preserve"> </w:t>
      </w:r>
      <w:proofErr w:type="spellStart"/>
      <w:r w:rsidRPr="001348E3">
        <w:rPr>
          <w:rFonts w:ascii="Calibri" w:hAnsi="Calibri" w:cs="Calibri"/>
          <w:sz w:val="22"/>
          <w:szCs w:val="22"/>
        </w:rPr>
        <w:t>systemic</w:t>
      </w:r>
      <w:proofErr w:type="spellEnd"/>
      <w:r w:rsidRPr="001348E3">
        <w:rPr>
          <w:rFonts w:ascii="Calibri" w:hAnsi="Calibri" w:cs="Calibri"/>
          <w:sz w:val="22"/>
          <w:szCs w:val="22"/>
        </w:rPr>
        <w:t xml:space="preserve"> </w:t>
      </w:r>
      <w:proofErr w:type="spellStart"/>
      <w:r w:rsidRPr="001348E3">
        <w:rPr>
          <w:rFonts w:ascii="Calibri" w:hAnsi="Calibri" w:cs="Calibri"/>
          <w:sz w:val="22"/>
          <w:szCs w:val="22"/>
        </w:rPr>
        <w:t>corticosteroids</w:t>
      </w:r>
      <w:proofErr w:type="spellEnd"/>
      <w:r w:rsidRPr="001348E3">
        <w:rPr>
          <w:rFonts w:ascii="Calibri" w:hAnsi="Calibri" w:cs="Calibri"/>
          <w:sz w:val="22"/>
          <w:szCs w:val="22"/>
        </w:rPr>
        <w:t xml:space="preserve"> </w:t>
      </w:r>
      <w:proofErr w:type="spellStart"/>
      <w:r w:rsidRPr="001348E3">
        <w:rPr>
          <w:rFonts w:ascii="Calibri" w:hAnsi="Calibri" w:cs="Calibri"/>
          <w:sz w:val="22"/>
          <w:szCs w:val="22"/>
        </w:rPr>
        <w:t>for</w:t>
      </w:r>
      <w:proofErr w:type="spellEnd"/>
      <w:r w:rsidRPr="001348E3">
        <w:rPr>
          <w:rFonts w:ascii="Calibri" w:hAnsi="Calibri" w:cs="Calibri"/>
          <w:sz w:val="22"/>
          <w:szCs w:val="22"/>
        </w:rPr>
        <w:t xml:space="preserve"> </w:t>
      </w:r>
      <w:proofErr w:type="spellStart"/>
      <w:r w:rsidRPr="001348E3">
        <w:rPr>
          <w:rFonts w:ascii="Calibri" w:hAnsi="Calibri" w:cs="Calibri"/>
          <w:sz w:val="22"/>
          <w:szCs w:val="22"/>
        </w:rPr>
        <w:t>atopic</w:t>
      </w:r>
      <w:proofErr w:type="spellEnd"/>
      <w:r w:rsidRPr="001348E3">
        <w:rPr>
          <w:rFonts w:ascii="Calibri" w:hAnsi="Calibri" w:cs="Calibri"/>
          <w:sz w:val="22"/>
          <w:szCs w:val="22"/>
        </w:rPr>
        <w:t xml:space="preserve"> </w:t>
      </w:r>
      <w:proofErr w:type="spellStart"/>
      <w:r w:rsidRPr="001348E3">
        <w:rPr>
          <w:rFonts w:ascii="Calibri" w:hAnsi="Calibri" w:cs="Calibri"/>
          <w:sz w:val="22"/>
          <w:szCs w:val="22"/>
        </w:rPr>
        <w:t>dermatitis</w:t>
      </w:r>
      <w:proofErr w:type="spellEnd"/>
      <w:r w:rsidRPr="001348E3">
        <w:rPr>
          <w:rFonts w:ascii="Calibri" w:hAnsi="Calibri" w:cs="Calibri"/>
          <w:sz w:val="22"/>
          <w:szCs w:val="22"/>
        </w:rPr>
        <w:t xml:space="preserve">: International </w:t>
      </w:r>
      <w:proofErr w:type="spellStart"/>
      <w:r w:rsidRPr="001348E3">
        <w:rPr>
          <w:rFonts w:ascii="Calibri" w:hAnsi="Calibri" w:cs="Calibri"/>
          <w:sz w:val="22"/>
          <w:szCs w:val="22"/>
        </w:rPr>
        <w:t>Eczema</w:t>
      </w:r>
      <w:proofErr w:type="spellEnd"/>
      <w:r w:rsidRPr="001348E3">
        <w:rPr>
          <w:rFonts w:ascii="Calibri" w:hAnsi="Calibri" w:cs="Calibri"/>
          <w:sz w:val="22"/>
          <w:szCs w:val="22"/>
        </w:rPr>
        <w:t xml:space="preserve"> Council </w:t>
      </w:r>
      <w:proofErr w:type="spellStart"/>
      <w:r w:rsidRPr="001348E3">
        <w:rPr>
          <w:rFonts w:ascii="Calibri" w:hAnsi="Calibri" w:cs="Calibri"/>
          <w:sz w:val="22"/>
          <w:szCs w:val="22"/>
        </w:rPr>
        <w:t>consensus</w:t>
      </w:r>
      <w:proofErr w:type="spellEnd"/>
      <w:r w:rsidRPr="001348E3">
        <w:rPr>
          <w:rFonts w:ascii="Calibri" w:hAnsi="Calibri" w:cs="Calibri"/>
          <w:sz w:val="22"/>
          <w:szCs w:val="22"/>
        </w:rPr>
        <w:t xml:space="preserve"> </w:t>
      </w:r>
      <w:proofErr w:type="spellStart"/>
      <w:r w:rsidRPr="001348E3">
        <w:rPr>
          <w:rFonts w:ascii="Calibri" w:hAnsi="Calibri" w:cs="Calibri"/>
          <w:sz w:val="22"/>
          <w:szCs w:val="22"/>
        </w:rPr>
        <w:t>statement</w:t>
      </w:r>
      <w:proofErr w:type="spellEnd"/>
      <w:r w:rsidRPr="001348E3">
        <w:rPr>
          <w:rFonts w:ascii="Calibri" w:hAnsi="Calibri" w:cs="Calibri"/>
          <w:sz w:val="22"/>
          <w:szCs w:val="22"/>
        </w:rPr>
        <w:t xml:space="preserve">. Br J </w:t>
      </w:r>
      <w:proofErr w:type="spellStart"/>
      <w:r w:rsidRPr="001348E3">
        <w:rPr>
          <w:rFonts w:ascii="Calibri" w:hAnsi="Calibri" w:cs="Calibri"/>
          <w:sz w:val="22"/>
          <w:szCs w:val="22"/>
        </w:rPr>
        <w:t>Dermatol</w:t>
      </w:r>
      <w:proofErr w:type="spellEnd"/>
      <w:r w:rsidRPr="001348E3">
        <w:rPr>
          <w:rFonts w:ascii="Calibri" w:hAnsi="Calibri" w:cs="Calibri"/>
          <w:sz w:val="22"/>
          <w:szCs w:val="22"/>
        </w:rPr>
        <w:t>. 2018;178(3):768–775</w:t>
      </w:r>
    </w:p>
    <w:p w:rsidR="00DD142E" w:rsidRDefault="00004C75" w:rsidP="00DD142E">
      <w:pPr>
        <w:pStyle w:val="StandardWeb"/>
        <w:spacing w:before="0" w:beforeAutospacing="0" w:after="0" w:afterAutospacing="0"/>
        <w:rPr>
          <w:rFonts w:ascii="Calibri" w:hAnsi="Calibri" w:cs="Calibri"/>
          <w:sz w:val="22"/>
          <w:szCs w:val="22"/>
        </w:rPr>
      </w:pPr>
      <w:r w:rsidRPr="001348E3">
        <w:rPr>
          <w:rFonts w:ascii="Calibri" w:hAnsi="Calibri" w:cs="Calibri"/>
          <w:sz w:val="22"/>
          <w:szCs w:val="22"/>
        </w:rPr>
        <w:t xml:space="preserve">29. </w:t>
      </w:r>
      <w:proofErr w:type="spellStart"/>
      <w:r w:rsidRPr="001348E3">
        <w:rPr>
          <w:rFonts w:ascii="Calibri" w:hAnsi="Calibri" w:cs="Calibri"/>
          <w:sz w:val="22"/>
          <w:szCs w:val="22"/>
        </w:rPr>
        <w:t>Yu</w:t>
      </w:r>
      <w:proofErr w:type="spellEnd"/>
      <w:r w:rsidRPr="001348E3">
        <w:rPr>
          <w:rFonts w:ascii="Calibri" w:hAnsi="Calibri" w:cs="Calibri"/>
          <w:sz w:val="22"/>
          <w:szCs w:val="22"/>
        </w:rPr>
        <w:t xml:space="preserve"> SH, Drucker AM, Lebwohl M, </w:t>
      </w:r>
      <w:proofErr w:type="spellStart"/>
      <w:r w:rsidRPr="001348E3">
        <w:rPr>
          <w:rFonts w:ascii="Calibri" w:hAnsi="Calibri" w:cs="Calibri"/>
          <w:sz w:val="22"/>
          <w:szCs w:val="22"/>
        </w:rPr>
        <w:t>Silverberg</w:t>
      </w:r>
      <w:proofErr w:type="spellEnd"/>
      <w:r w:rsidRPr="001348E3">
        <w:rPr>
          <w:rFonts w:ascii="Calibri" w:hAnsi="Calibri" w:cs="Calibri"/>
          <w:sz w:val="22"/>
          <w:szCs w:val="22"/>
        </w:rPr>
        <w:t xml:space="preserve"> JI. A </w:t>
      </w:r>
      <w:proofErr w:type="spellStart"/>
      <w:r w:rsidRPr="001348E3">
        <w:rPr>
          <w:rFonts w:ascii="Calibri" w:hAnsi="Calibri" w:cs="Calibri"/>
          <w:sz w:val="22"/>
          <w:szCs w:val="22"/>
        </w:rPr>
        <w:t>systematic</w:t>
      </w:r>
      <w:proofErr w:type="spellEnd"/>
      <w:r w:rsidRPr="001348E3">
        <w:rPr>
          <w:rFonts w:ascii="Calibri" w:hAnsi="Calibri" w:cs="Calibri"/>
          <w:sz w:val="22"/>
          <w:szCs w:val="22"/>
        </w:rPr>
        <w:t xml:space="preserve"> review </w:t>
      </w:r>
      <w:proofErr w:type="spellStart"/>
      <w:r w:rsidRPr="001348E3">
        <w:rPr>
          <w:rFonts w:ascii="Calibri" w:hAnsi="Calibri" w:cs="Calibri"/>
          <w:sz w:val="22"/>
          <w:szCs w:val="22"/>
        </w:rPr>
        <w:t>of</w:t>
      </w:r>
      <w:proofErr w:type="spellEnd"/>
      <w:r w:rsidRPr="001348E3">
        <w:rPr>
          <w:rFonts w:ascii="Calibri" w:hAnsi="Calibri" w:cs="Calibri"/>
          <w:sz w:val="22"/>
          <w:szCs w:val="22"/>
        </w:rPr>
        <w:t xml:space="preserve"> </w:t>
      </w:r>
      <w:proofErr w:type="spellStart"/>
      <w:r w:rsidRPr="001348E3">
        <w:rPr>
          <w:rFonts w:ascii="Calibri" w:hAnsi="Calibri" w:cs="Calibri"/>
          <w:sz w:val="22"/>
          <w:szCs w:val="22"/>
        </w:rPr>
        <w:t>the</w:t>
      </w:r>
      <w:proofErr w:type="spellEnd"/>
      <w:r w:rsidRPr="001348E3">
        <w:rPr>
          <w:rFonts w:ascii="Calibri" w:hAnsi="Calibri" w:cs="Calibri"/>
          <w:sz w:val="22"/>
          <w:szCs w:val="22"/>
        </w:rPr>
        <w:t xml:space="preserve"> </w:t>
      </w:r>
      <w:proofErr w:type="spellStart"/>
      <w:r w:rsidRPr="001348E3">
        <w:rPr>
          <w:rFonts w:ascii="Calibri" w:hAnsi="Calibri" w:cs="Calibri"/>
          <w:sz w:val="22"/>
          <w:szCs w:val="22"/>
        </w:rPr>
        <w:t>safety</w:t>
      </w:r>
      <w:proofErr w:type="spellEnd"/>
      <w:r w:rsidRPr="001348E3">
        <w:rPr>
          <w:rFonts w:ascii="Calibri" w:hAnsi="Calibri" w:cs="Calibri"/>
          <w:sz w:val="22"/>
          <w:szCs w:val="22"/>
        </w:rPr>
        <w:t xml:space="preserve"> and </w:t>
      </w:r>
      <w:proofErr w:type="spellStart"/>
      <w:r w:rsidRPr="001348E3">
        <w:rPr>
          <w:rFonts w:ascii="Calibri" w:hAnsi="Calibri" w:cs="Calibri"/>
          <w:sz w:val="22"/>
          <w:szCs w:val="22"/>
        </w:rPr>
        <w:t>efficacy</w:t>
      </w:r>
      <w:proofErr w:type="spellEnd"/>
      <w:r w:rsidRPr="001348E3">
        <w:rPr>
          <w:rFonts w:ascii="Calibri" w:hAnsi="Calibri" w:cs="Calibri"/>
          <w:sz w:val="22"/>
          <w:szCs w:val="22"/>
        </w:rPr>
        <w:t xml:space="preserve"> </w:t>
      </w:r>
      <w:proofErr w:type="spellStart"/>
      <w:r w:rsidRPr="001348E3">
        <w:rPr>
          <w:rFonts w:ascii="Calibri" w:hAnsi="Calibri" w:cs="Calibri"/>
          <w:sz w:val="22"/>
          <w:szCs w:val="22"/>
        </w:rPr>
        <w:t>of</w:t>
      </w:r>
      <w:proofErr w:type="spellEnd"/>
      <w:r w:rsidRPr="001348E3">
        <w:rPr>
          <w:rFonts w:ascii="Calibri" w:hAnsi="Calibri" w:cs="Calibri"/>
          <w:sz w:val="22"/>
          <w:szCs w:val="22"/>
        </w:rPr>
        <w:t xml:space="preserve"> </w:t>
      </w:r>
      <w:proofErr w:type="spellStart"/>
      <w:r w:rsidRPr="001348E3">
        <w:rPr>
          <w:rFonts w:ascii="Calibri" w:hAnsi="Calibri" w:cs="Calibri"/>
          <w:sz w:val="22"/>
          <w:szCs w:val="22"/>
        </w:rPr>
        <w:t>systemic</w:t>
      </w:r>
      <w:proofErr w:type="spellEnd"/>
      <w:r w:rsidRPr="001348E3">
        <w:rPr>
          <w:rFonts w:ascii="Calibri" w:hAnsi="Calibri" w:cs="Calibri"/>
          <w:sz w:val="22"/>
          <w:szCs w:val="22"/>
        </w:rPr>
        <w:t xml:space="preserve"> </w:t>
      </w:r>
      <w:proofErr w:type="spellStart"/>
      <w:r w:rsidRPr="001348E3">
        <w:rPr>
          <w:rFonts w:ascii="Calibri" w:hAnsi="Calibri" w:cs="Calibri"/>
          <w:sz w:val="22"/>
          <w:szCs w:val="22"/>
        </w:rPr>
        <w:t>corticosteroids</w:t>
      </w:r>
      <w:proofErr w:type="spellEnd"/>
      <w:r w:rsidRPr="001348E3">
        <w:rPr>
          <w:rFonts w:ascii="Calibri" w:hAnsi="Calibri" w:cs="Calibri"/>
          <w:sz w:val="22"/>
          <w:szCs w:val="22"/>
        </w:rPr>
        <w:t xml:space="preserve"> in </w:t>
      </w:r>
      <w:proofErr w:type="spellStart"/>
      <w:r w:rsidRPr="001348E3">
        <w:rPr>
          <w:rFonts w:ascii="Calibri" w:hAnsi="Calibri" w:cs="Calibri"/>
          <w:sz w:val="22"/>
          <w:szCs w:val="22"/>
        </w:rPr>
        <w:t>atopic</w:t>
      </w:r>
      <w:proofErr w:type="spellEnd"/>
      <w:r w:rsidRPr="001348E3">
        <w:rPr>
          <w:rFonts w:ascii="Calibri" w:hAnsi="Calibri" w:cs="Calibri"/>
          <w:sz w:val="22"/>
          <w:szCs w:val="22"/>
        </w:rPr>
        <w:t xml:space="preserve"> </w:t>
      </w:r>
      <w:proofErr w:type="spellStart"/>
      <w:r w:rsidRPr="001348E3">
        <w:rPr>
          <w:rFonts w:ascii="Calibri" w:hAnsi="Calibri" w:cs="Calibri"/>
          <w:sz w:val="22"/>
          <w:szCs w:val="22"/>
        </w:rPr>
        <w:t>dermatitis</w:t>
      </w:r>
      <w:proofErr w:type="spellEnd"/>
      <w:r w:rsidRPr="001348E3">
        <w:rPr>
          <w:rFonts w:ascii="Calibri" w:hAnsi="Calibri" w:cs="Calibri"/>
          <w:sz w:val="22"/>
          <w:szCs w:val="22"/>
        </w:rPr>
        <w:t xml:space="preserve">. J Am </w:t>
      </w:r>
      <w:proofErr w:type="spellStart"/>
      <w:r w:rsidRPr="001348E3">
        <w:rPr>
          <w:rFonts w:ascii="Calibri" w:hAnsi="Calibri" w:cs="Calibri"/>
          <w:sz w:val="22"/>
          <w:szCs w:val="22"/>
        </w:rPr>
        <w:t>Acad</w:t>
      </w:r>
      <w:proofErr w:type="spellEnd"/>
      <w:r w:rsidRPr="001348E3">
        <w:rPr>
          <w:rFonts w:ascii="Calibri" w:hAnsi="Calibri" w:cs="Calibri"/>
          <w:sz w:val="22"/>
          <w:szCs w:val="22"/>
        </w:rPr>
        <w:t xml:space="preserve"> </w:t>
      </w:r>
      <w:proofErr w:type="spellStart"/>
      <w:r w:rsidRPr="001348E3">
        <w:rPr>
          <w:rFonts w:ascii="Calibri" w:hAnsi="Calibri" w:cs="Calibri"/>
          <w:sz w:val="22"/>
          <w:szCs w:val="22"/>
        </w:rPr>
        <w:t>Dermatol</w:t>
      </w:r>
      <w:proofErr w:type="spellEnd"/>
      <w:r w:rsidRPr="001348E3">
        <w:rPr>
          <w:rFonts w:ascii="Calibri" w:hAnsi="Calibri" w:cs="Calibri"/>
          <w:sz w:val="22"/>
          <w:szCs w:val="22"/>
        </w:rPr>
        <w:t>. 2018;78(4):733–740</w:t>
      </w:r>
    </w:p>
    <w:p w:rsidR="006F52E2" w:rsidRDefault="006F52E2" w:rsidP="00DD142E">
      <w:pPr>
        <w:pStyle w:val="StandardWeb"/>
        <w:spacing w:before="0" w:beforeAutospacing="0" w:after="0" w:afterAutospacing="0"/>
        <w:rPr>
          <w:rFonts w:ascii="Calibri" w:hAnsi="Calibri" w:cs="Calibri"/>
          <w:sz w:val="22"/>
          <w:szCs w:val="22"/>
        </w:rPr>
      </w:pPr>
    </w:p>
    <w:p w:rsidR="009A068B" w:rsidRDefault="009A068B" w:rsidP="00DD142E">
      <w:pPr>
        <w:pStyle w:val="StandardWeb"/>
        <w:spacing w:before="0" w:beforeAutospacing="0" w:after="0" w:afterAutospacing="0"/>
        <w:rPr>
          <w:rFonts w:ascii="Calibri" w:hAnsi="Calibri" w:cs="Calibri"/>
          <w:sz w:val="22"/>
          <w:szCs w:val="22"/>
        </w:rPr>
      </w:pPr>
    </w:p>
    <w:p w:rsidR="00A32631" w:rsidRPr="00762646" w:rsidRDefault="00F91D14" w:rsidP="006F52E2">
      <w:pPr>
        <w:pStyle w:val="StandardWeb"/>
        <w:spacing w:before="0" w:beforeAutospacing="0" w:after="0" w:afterAutospacing="0"/>
        <w:rPr>
          <w:b/>
        </w:rPr>
      </w:pPr>
      <w:r w:rsidRPr="00762646">
        <w:rPr>
          <w:rFonts w:ascii="Calibri" w:hAnsi="Calibri" w:cs="Calibri"/>
          <w:b/>
        </w:rPr>
        <w:t>Anhang</w:t>
      </w:r>
      <w:r w:rsidR="002A089F" w:rsidRPr="00762646">
        <w:rPr>
          <w:rFonts w:ascii="Calibri" w:hAnsi="Calibri" w:cs="Calibri"/>
          <w:b/>
        </w:rPr>
        <w:t xml:space="preserve"> 2</w:t>
      </w:r>
      <w:r w:rsidRPr="00762646">
        <w:rPr>
          <w:rFonts w:ascii="Calibri" w:hAnsi="Calibri" w:cs="Calibri"/>
          <w:b/>
        </w:rPr>
        <w:t>:</w:t>
      </w:r>
      <w:r w:rsidR="007403D1" w:rsidRPr="00762646">
        <w:rPr>
          <w: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2"/>
        <w:gridCol w:w="11755"/>
      </w:tblGrid>
      <w:tr w:rsidR="00BF5616" w:rsidTr="007373B2">
        <w:tc>
          <w:tcPr>
            <w:tcW w:w="0" w:type="auto"/>
            <w:shd w:val="clear" w:color="auto" w:fill="D9D9D9"/>
          </w:tcPr>
          <w:tbl>
            <w:tblPr>
              <w:tblW w:w="0" w:type="auto"/>
              <w:tblBorders>
                <w:top w:val="nil"/>
                <w:left w:val="nil"/>
                <w:bottom w:val="nil"/>
                <w:right w:val="nil"/>
              </w:tblBorders>
              <w:tblLook w:val="0000" w:firstRow="0" w:lastRow="0" w:firstColumn="0" w:lastColumn="0" w:noHBand="0" w:noVBand="0"/>
            </w:tblPr>
            <w:tblGrid>
              <w:gridCol w:w="2723"/>
              <w:gridCol w:w="222"/>
            </w:tblGrid>
            <w:tr w:rsidR="00BF5616" w:rsidTr="007373B2">
              <w:trPr>
                <w:trHeight w:val="244"/>
              </w:trPr>
              <w:tc>
                <w:tcPr>
                  <w:tcW w:w="0" w:type="auto"/>
                </w:tcPr>
                <w:p w:rsidR="00BF5616" w:rsidRDefault="00BF5616" w:rsidP="007373B2">
                  <w:pPr>
                    <w:pStyle w:val="Default"/>
                    <w:rPr>
                      <w:sz w:val="22"/>
                      <w:szCs w:val="22"/>
                    </w:rPr>
                  </w:pPr>
                  <w:r>
                    <w:rPr>
                      <w:b/>
                      <w:bCs/>
                      <w:sz w:val="22"/>
                      <w:szCs w:val="22"/>
                    </w:rPr>
                    <w:t xml:space="preserve">Mechanismus Klimaschutz/ </w:t>
                  </w:r>
                </w:p>
                <w:p w:rsidR="00BF5616" w:rsidRDefault="00BF5616" w:rsidP="007373B2">
                  <w:pPr>
                    <w:pStyle w:val="Default"/>
                    <w:rPr>
                      <w:sz w:val="22"/>
                      <w:szCs w:val="22"/>
                    </w:rPr>
                  </w:pPr>
                  <w:r>
                    <w:rPr>
                      <w:b/>
                      <w:bCs/>
                      <w:sz w:val="22"/>
                      <w:szCs w:val="22"/>
                    </w:rPr>
                    <w:t xml:space="preserve">Ressourcenschonung </w:t>
                  </w:r>
                </w:p>
              </w:tc>
              <w:tc>
                <w:tcPr>
                  <w:tcW w:w="0" w:type="auto"/>
                </w:tcPr>
                <w:p w:rsidR="00BF5616" w:rsidRDefault="00BF5616" w:rsidP="007373B2">
                  <w:pPr>
                    <w:pStyle w:val="Default"/>
                    <w:rPr>
                      <w:sz w:val="22"/>
                      <w:szCs w:val="22"/>
                    </w:rPr>
                  </w:pPr>
                </w:p>
              </w:tc>
            </w:tr>
          </w:tbl>
          <w:p w:rsidR="00BF5616" w:rsidRDefault="00BF5616" w:rsidP="007373B2"/>
        </w:tc>
        <w:tc>
          <w:tcPr>
            <w:tcW w:w="0" w:type="auto"/>
            <w:shd w:val="clear" w:color="auto" w:fill="D9D9D9"/>
          </w:tcPr>
          <w:p w:rsidR="00BF5616" w:rsidRPr="00490A47" w:rsidRDefault="00BF5616" w:rsidP="007373B2">
            <w:pPr>
              <w:rPr>
                <w:rFonts w:asciiTheme="minorHAnsi" w:hAnsiTheme="minorHAnsi" w:cstheme="minorHAnsi"/>
                <w:b/>
                <w:sz w:val="22"/>
                <w:szCs w:val="22"/>
              </w:rPr>
            </w:pPr>
            <w:r w:rsidRPr="00490A47">
              <w:rPr>
                <w:rFonts w:asciiTheme="minorHAnsi" w:hAnsiTheme="minorHAnsi" w:cstheme="minorHAnsi"/>
                <w:b/>
                <w:sz w:val="22"/>
                <w:szCs w:val="22"/>
              </w:rPr>
              <w:t>Erläuterung</w:t>
            </w:r>
          </w:p>
        </w:tc>
      </w:tr>
      <w:tr w:rsidR="00BF5616" w:rsidTr="007373B2">
        <w:tc>
          <w:tcPr>
            <w:tcW w:w="0" w:type="auto"/>
            <w:shd w:val="clear" w:color="auto" w:fill="auto"/>
          </w:tcPr>
          <w:p w:rsidR="00BF5616" w:rsidRPr="00B07492" w:rsidRDefault="00BF5616" w:rsidP="00F91D14">
            <w:pPr>
              <w:pStyle w:val="Default"/>
              <w:rPr>
                <w:sz w:val="22"/>
                <w:szCs w:val="22"/>
              </w:rPr>
            </w:pPr>
            <w:r w:rsidRPr="00B07492">
              <w:rPr>
                <w:sz w:val="22"/>
                <w:szCs w:val="22"/>
              </w:rPr>
              <w:t>Einsparung von Medikamenten</w:t>
            </w:r>
          </w:p>
          <w:p w:rsidR="00BF5616" w:rsidRPr="00B07492" w:rsidRDefault="00BF5616" w:rsidP="007373B2">
            <w:pPr>
              <w:rPr>
                <w:rFonts w:ascii="Calibri" w:hAnsi="Calibri" w:cs="Calibri"/>
                <w:sz w:val="22"/>
                <w:szCs w:val="22"/>
              </w:rPr>
            </w:pPr>
          </w:p>
        </w:tc>
        <w:tc>
          <w:tcPr>
            <w:tcW w:w="0" w:type="auto"/>
            <w:shd w:val="clear" w:color="auto" w:fill="auto"/>
          </w:tcPr>
          <w:p w:rsidR="00BF5616" w:rsidRPr="00B07492" w:rsidRDefault="00BF5616" w:rsidP="00435526">
            <w:pPr>
              <w:pStyle w:val="Default"/>
              <w:rPr>
                <w:sz w:val="22"/>
                <w:szCs w:val="22"/>
              </w:rPr>
            </w:pPr>
            <w:r w:rsidRPr="00B07492">
              <w:rPr>
                <w:sz w:val="22"/>
                <w:szCs w:val="22"/>
              </w:rPr>
              <w:t>Der CO</w:t>
            </w:r>
            <w:r w:rsidR="00DE2DE6" w:rsidRPr="00B07492">
              <w:rPr>
                <w:sz w:val="22"/>
                <w:szCs w:val="22"/>
              </w:rPr>
              <w:t>2</w:t>
            </w:r>
            <w:r w:rsidRPr="00B07492">
              <w:rPr>
                <w:sz w:val="22"/>
                <w:szCs w:val="22"/>
              </w:rPr>
              <w:t>-Fußabdruck der Pharmaindustrie wurde im Jahr 2015 auf 52 Millionen Tonnen CO</w:t>
            </w:r>
            <w:r w:rsidR="00DE2DE6" w:rsidRPr="00B07492">
              <w:rPr>
                <w:sz w:val="22"/>
                <w:szCs w:val="22"/>
              </w:rPr>
              <w:t>2</w:t>
            </w:r>
            <w:r w:rsidRPr="00B07492">
              <w:rPr>
                <w:sz w:val="22"/>
                <w:szCs w:val="22"/>
              </w:rPr>
              <w:t xml:space="preserve">e geschätzt. Im Vergleich hierzu ist die weltweite Automobilindustrie für 46 Millionen Tonnen </w:t>
            </w:r>
            <w:r w:rsidR="00DE2DE6" w:rsidRPr="00B07492">
              <w:rPr>
                <w:sz w:val="22"/>
                <w:szCs w:val="22"/>
              </w:rPr>
              <w:t>CO2e</w:t>
            </w:r>
            <w:r w:rsidRPr="00B07492">
              <w:rPr>
                <w:sz w:val="22"/>
                <w:szCs w:val="22"/>
              </w:rPr>
              <w:t xml:space="preserve"> verantwortlich. Die Arzneimittel sind einer der Hauptverursacher der Treibhausgasemissionen der Gesundheitssektoren. Auch die Lieferketten, die bei der </w:t>
            </w:r>
            <w:r w:rsidRPr="00B07492">
              <w:rPr>
                <w:sz w:val="22"/>
                <w:szCs w:val="22"/>
              </w:rPr>
              <w:lastRenderedPageBreak/>
              <w:t xml:space="preserve">Arzneimittelproduktion eine Rolle spielen, fallen für das Klima ins Gewicht. Besonders die </w:t>
            </w:r>
            <w:proofErr w:type="spellStart"/>
            <w:r w:rsidRPr="00B07492">
              <w:rPr>
                <w:sz w:val="22"/>
                <w:szCs w:val="22"/>
              </w:rPr>
              <w:t>Active</w:t>
            </w:r>
            <w:proofErr w:type="spellEnd"/>
            <w:r w:rsidRPr="00B07492">
              <w:rPr>
                <w:sz w:val="22"/>
                <w:szCs w:val="22"/>
              </w:rPr>
              <w:t xml:space="preserve"> Pharmaceutical </w:t>
            </w:r>
            <w:proofErr w:type="spellStart"/>
            <w:r w:rsidRPr="00B07492">
              <w:rPr>
                <w:sz w:val="22"/>
                <w:szCs w:val="22"/>
              </w:rPr>
              <w:t>Ingredients</w:t>
            </w:r>
            <w:proofErr w:type="spellEnd"/>
            <w:r w:rsidRPr="00B07492">
              <w:rPr>
                <w:sz w:val="22"/>
                <w:szCs w:val="22"/>
              </w:rPr>
              <w:t xml:space="preserve"> (API), die durch Abwasser in der Produktion und Entsorgung von Medikamenten im Ökosystem landen, haben vielfältige Auswirkungen auf die Umwelt. (2,3,4)</w:t>
            </w:r>
          </w:p>
        </w:tc>
      </w:tr>
      <w:tr w:rsidR="00BF5616" w:rsidTr="007373B2">
        <w:tc>
          <w:tcPr>
            <w:tcW w:w="0" w:type="auto"/>
            <w:shd w:val="clear" w:color="auto" w:fill="auto"/>
          </w:tcPr>
          <w:tbl>
            <w:tblPr>
              <w:tblW w:w="0" w:type="auto"/>
              <w:tblBorders>
                <w:top w:val="nil"/>
                <w:left w:val="nil"/>
                <w:bottom w:val="nil"/>
                <w:right w:val="nil"/>
              </w:tblBorders>
              <w:tblLook w:val="0000" w:firstRow="0" w:lastRow="0" w:firstColumn="0" w:lastColumn="0" w:noHBand="0" w:noVBand="0"/>
            </w:tblPr>
            <w:tblGrid>
              <w:gridCol w:w="3156"/>
            </w:tblGrid>
            <w:tr w:rsidR="00BF5616" w:rsidRPr="00B07492" w:rsidTr="007373B2">
              <w:trPr>
                <w:trHeight w:val="782"/>
              </w:trPr>
              <w:tc>
                <w:tcPr>
                  <w:tcW w:w="0" w:type="auto"/>
                </w:tcPr>
                <w:p w:rsidR="00BF5616" w:rsidRPr="00B07492" w:rsidRDefault="00BF5616" w:rsidP="00F91D14">
                  <w:pPr>
                    <w:suppressAutoHyphens w:val="0"/>
                    <w:autoSpaceDE w:val="0"/>
                    <w:autoSpaceDN w:val="0"/>
                    <w:adjustRightInd w:val="0"/>
                    <w:jc w:val="left"/>
                    <w:rPr>
                      <w:rFonts w:ascii="Calibri" w:hAnsi="Calibri" w:cs="Calibri"/>
                      <w:color w:val="000000"/>
                      <w:sz w:val="22"/>
                      <w:szCs w:val="22"/>
                    </w:rPr>
                  </w:pPr>
                  <w:r w:rsidRPr="00B07492">
                    <w:rPr>
                      <w:rFonts w:ascii="Calibri" w:hAnsi="Calibri" w:cs="Calibri"/>
                      <w:color w:val="000000"/>
                      <w:sz w:val="22"/>
                      <w:szCs w:val="22"/>
                    </w:rPr>
                    <w:lastRenderedPageBreak/>
                    <w:t xml:space="preserve">Einsparung medizinischer Eingriffe </w:t>
                  </w:r>
                </w:p>
              </w:tc>
            </w:tr>
          </w:tbl>
          <w:p w:rsidR="00BF5616" w:rsidRPr="00B07492" w:rsidRDefault="00BF5616" w:rsidP="007373B2">
            <w:pPr>
              <w:rPr>
                <w:rFonts w:ascii="Calibri" w:hAnsi="Calibri" w:cs="Calibri"/>
                <w:sz w:val="22"/>
                <w:szCs w:val="22"/>
              </w:rPr>
            </w:pPr>
          </w:p>
        </w:tc>
        <w:tc>
          <w:tcPr>
            <w:tcW w:w="0" w:type="auto"/>
            <w:shd w:val="clear" w:color="auto" w:fill="auto"/>
          </w:tcPr>
          <w:p w:rsidR="00BF5616" w:rsidRPr="00B07492" w:rsidRDefault="00BF5616" w:rsidP="00435526">
            <w:pPr>
              <w:autoSpaceDE w:val="0"/>
              <w:autoSpaceDN w:val="0"/>
              <w:adjustRightInd w:val="0"/>
              <w:jc w:val="left"/>
              <w:rPr>
                <w:rFonts w:ascii="Calibri" w:hAnsi="Calibri" w:cs="Calibri"/>
                <w:sz w:val="22"/>
                <w:szCs w:val="22"/>
              </w:rPr>
            </w:pPr>
            <w:r w:rsidRPr="00B07492">
              <w:rPr>
                <w:rFonts w:ascii="Calibri" w:hAnsi="Calibri" w:cs="Calibri"/>
                <w:color w:val="000000"/>
                <w:sz w:val="22"/>
                <w:szCs w:val="22"/>
              </w:rPr>
              <w:t xml:space="preserve">Medizinische Eingriffe verursachen eine große Menge an Abfällen und verbrauchen viel Energie und Wasser. Im amerikanischen Gesundheitssystem allein werden 4 Milliarden Tonnen Abfall jährlich produziert und der amerikanische Gesundheitssektor ist für ca. 10% der nationalen Treibhausgasemissionen verantwortlich. </w:t>
            </w:r>
          </w:p>
        </w:tc>
      </w:tr>
      <w:tr w:rsidR="00BF5616" w:rsidTr="007373B2">
        <w:tc>
          <w:tcPr>
            <w:tcW w:w="0" w:type="auto"/>
            <w:shd w:val="clear" w:color="auto" w:fill="auto"/>
          </w:tcPr>
          <w:tbl>
            <w:tblPr>
              <w:tblW w:w="0" w:type="auto"/>
              <w:tblBorders>
                <w:top w:val="nil"/>
                <w:left w:val="nil"/>
                <w:bottom w:val="nil"/>
                <w:right w:val="nil"/>
              </w:tblBorders>
              <w:tblLook w:val="0000" w:firstRow="0" w:lastRow="0" w:firstColumn="0" w:lastColumn="0" w:noHBand="0" w:noVBand="0"/>
            </w:tblPr>
            <w:tblGrid>
              <w:gridCol w:w="2934"/>
              <w:gridCol w:w="222"/>
            </w:tblGrid>
            <w:tr w:rsidR="00BF5616" w:rsidRPr="00B07492" w:rsidTr="007373B2">
              <w:trPr>
                <w:trHeight w:val="915"/>
              </w:trPr>
              <w:tc>
                <w:tcPr>
                  <w:tcW w:w="0" w:type="auto"/>
                </w:tcPr>
                <w:p w:rsidR="00BF5616" w:rsidRPr="00B07492" w:rsidRDefault="00BF5616" w:rsidP="00F91D14">
                  <w:pPr>
                    <w:suppressAutoHyphens w:val="0"/>
                    <w:autoSpaceDE w:val="0"/>
                    <w:autoSpaceDN w:val="0"/>
                    <w:adjustRightInd w:val="0"/>
                    <w:jc w:val="left"/>
                    <w:rPr>
                      <w:rFonts w:ascii="Calibri" w:hAnsi="Calibri" w:cs="Calibri"/>
                      <w:color w:val="000000"/>
                      <w:sz w:val="22"/>
                      <w:szCs w:val="22"/>
                    </w:rPr>
                  </w:pPr>
                  <w:r w:rsidRPr="00B07492">
                    <w:rPr>
                      <w:rFonts w:ascii="Calibri" w:hAnsi="Calibri" w:cs="Calibri"/>
                      <w:color w:val="000000"/>
                      <w:sz w:val="22"/>
                      <w:szCs w:val="22"/>
                    </w:rPr>
                    <w:t xml:space="preserve">Einsparung chirurgischer Eingriffe </w:t>
                  </w:r>
                </w:p>
                <w:p w:rsidR="00BF5616" w:rsidRPr="00B07492" w:rsidRDefault="00BF5616" w:rsidP="007373B2">
                  <w:pPr>
                    <w:autoSpaceDE w:val="0"/>
                    <w:autoSpaceDN w:val="0"/>
                    <w:adjustRightInd w:val="0"/>
                    <w:rPr>
                      <w:rFonts w:ascii="Calibri" w:hAnsi="Calibri" w:cs="Calibri"/>
                      <w:color w:val="000000"/>
                      <w:sz w:val="22"/>
                      <w:szCs w:val="22"/>
                    </w:rPr>
                  </w:pPr>
                </w:p>
              </w:tc>
              <w:tc>
                <w:tcPr>
                  <w:tcW w:w="0" w:type="auto"/>
                </w:tcPr>
                <w:p w:rsidR="00BF5616" w:rsidRPr="00B07492" w:rsidRDefault="00BF5616" w:rsidP="007373B2">
                  <w:pPr>
                    <w:autoSpaceDE w:val="0"/>
                    <w:autoSpaceDN w:val="0"/>
                    <w:adjustRightInd w:val="0"/>
                    <w:rPr>
                      <w:rFonts w:ascii="Calibri" w:hAnsi="Calibri" w:cs="Calibri"/>
                      <w:color w:val="000000"/>
                      <w:sz w:val="22"/>
                      <w:szCs w:val="22"/>
                    </w:rPr>
                  </w:pPr>
                </w:p>
              </w:tc>
            </w:tr>
          </w:tbl>
          <w:p w:rsidR="00BF5616" w:rsidRPr="00B07492" w:rsidRDefault="00BF5616" w:rsidP="007373B2">
            <w:pPr>
              <w:rPr>
                <w:rFonts w:ascii="Calibri" w:hAnsi="Calibri" w:cs="Calibri"/>
                <w:sz w:val="22"/>
                <w:szCs w:val="22"/>
              </w:rPr>
            </w:pPr>
          </w:p>
        </w:tc>
        <w:tc>
          <w:tcPr>
            <w:tcW w:w="0" w:type="auto"/>
            <w:shd w:val="clear" w:color="auto" w:fill="auto"/>
          </w:tcPr>
          <w:p w:rsidR="00BF5616" w:rsidRPr="00B07492" w:rsidRDefault="00BF5616" w:rsidP="00435526">
            <w:pPr>
              <w:jc w:val="left"/>
              <w:rPr>
                <w:rFonts w:ascii="Calibri" w:hAnsi="Calibri" w:cs="Calibri"/>
                <w:sz w:val="22"/>
                <w:szCs w:val="22"/>
              </w:rPr>
            </w:pPr>
            <w:r w:rsidRPr="00B07492">
              <w:rPr>
                <w:rFonts w:ascii="Calibri" w:hAnsi="Calibri" w:cs="Calibri"/>
                <w:color w:val="000000"/>
                <w:sz w:val="22"/>
                <w:szCs w:val="22"/>
              </w:rPr>
              <w:t>Chirurgische Eingriffe sind ressourcenintensiv mit teuren Geräten, Sterilisationsverfahren und obligatorischen lebenserhaltenden Systemen, die erhebliche Mengen an Energie und Verbrauchsmaterialien benötigen und große Abfallmengen erzeugen. In Kanada, den USA und UK wird das durch Operationen verursachte CO2-Äquivalent auf 9,7 Millionen Tonnen pro Jahr geschätzt. (7)</w:t>
            </w:r>
          </w:p>
        </w:tc>
      </w:tr>
      <w:tr w:rsidR="00BF5616" w:rsidTr="007373B2">
        <w:tc>
          <w:tcPr>
            <w:tcW w:w="0" w:type="auto"/>
            <w:shd w:val="clear" w:color="auto" w:fill="auto"/>
          </w:tcPr>
          <w:tbl>
            <w:tblPr>
              <w:tblW w:w="0" w:type="auto"/>
              <w:tblBorders>
                <w:top w:val="nil"/>
                <w:left w:val="nil"/>
                <w:bottom w:val="nil"/>
                <w:right w:val="nil"/>
              </w:tblBorders>
              <w:tblLook w:val="0000" w:firstRow="0" w:lastRow="0" w:firstColumn="0" w:lastColumn="0" w:noHBand="0" w:noVBand="0"/>
            </w:tblPr>
            <w:tblGrid>
              <w:gridCol w:w="2934"/>
              <w:gridCol w:w="222"/>
            </w:tblGrid>
            <w:tr w:rsidR="00BF5616" w:rsidRPr="00B07492" w:rsidTr="007373B2">
              <w:trPr>
                <w:trHeight w:val="647"/>
              </w:trPr>
              <w:tc>
                <w:tcPr>
                  <w:tcW w:w="0" w:type="auto"/>
                </w:tcPr>
                <w:p w:rsidR="00BF5616" w:rsidRPr="00B07492" w:rsidRDefault="00BF5616" w:rsidP="006F52E2">
                  <w:pPr>
                    <w:suppressAutoHyphens w:val="0"/>
                    <w:autoSpaceDE w:val="0"/>
                    <w:autoSpaceDN w:val="0"/>
                    <w:adjustRightInd w:val="0"/>
                    <w:jc w:val="left"/>
                    <w:rPr>
                      <w:rFonts w:ascii="Calibri" w:hAnsi="Calibri" w:cs="Calibri"/>
                      <w:color w:val="000000"/>
                      <w:sz w:val="22"/>
                      <w:szCs w:val="22"/>
                    </w:rPr>
                  </w:pPr>
                  <w:r w:rsidRPr="00B07492">
                    <w:rPr>
                      <w:rFonts w:ascii="Calibri" w:hAnsi="Calibri" w:cs="Calibri"/>
                      <w:color w:val="000000"/>
                      <w:sz w:val="22"/>
                      <w:szCs w:val="22"/>
                    </w:rPr>
                    <w:t xml:space="preserve">Schonender Umgang mit bildgebenden Verfahren </w:t>
                  </w:r>
                </w:p>
              </w:tc>
              <w:tc>
                <w:tcPr>
                  <w:tcW w:w="0" w:type="auto"/>
                </w:tcPr>
                <w:p w:rsidR="00BF5616" w:rsidRPr="00B07492" w:rsidRDefault="00BF5616" w:rsidP="007373B2">
                  <w:pPr>
                    <w:autoSpaceDE w:val="0"/>
                    <w:autoSpaceDN w:val="0"/>
                    <w:adjustRightInd w:val="0"/>
                    <w:rPr>
                      <w:rFonts w:ascii="Calibri" w:hAnsi="Calibri" w:cs="Calibri"/>
                      <w:color w:val="000000"/>
                      <w:sz w:val="22"/>
                      <w:szCs w:val="22"/>
                    </w:rPr>
                  </w:pPr>
                </w:p>
              </w:tc>
            </w:tr>
          </w:tbl>
          <w:p w:rsidR="00BF5616" w:rsidRPr="00B07492" w:rsidRDefault="00BF5616" w:rsidP="007373B2">
            <w:pPr>
              <w:rPr>
                <w:rFonts w:ascii="Calibri" w:hAnsi="Calibri" w:cs="Calibri"/>
                <w:sz w:val="22"/>
                <w:szCs w:val="22"/>
              </w:rPr>
            </w:pPr>
          </w:p>
        </w:tc>
        <w:tc>
          <w:tcPr>
            <w:tcW w:w="0" w:type="auto"/>
            <w:shd w:val="clear" w:color="auto" w:fill="auto"/>
          </w:tcPr>
          <w:p w:rsidR="00BF5616" w:rsidRPr="00B07492" w:rsidRDefault="00BF5616" w:rsidP="00435526">
            <w:pPr>
              <w:jc w:val="left"/>
              <w:rPr>
                <w:rFonts w:ascii="Calibri" w:hAnsi="Calibri" w:cs="Calibri"/>
                <w:sz w:val="22"/>
                <w:szCs w:val="22"/>
              </w:rPr>
            </w:pPr>
            <w:r w:rsidRPr="00B07492">
              <w:rPr>
                <w:rFonts w:ascii="Calibri" w:hAnsi="Calibri" w:cs="Calibri"/>
                <w:color w:val="000000"/>
                <w:sz w:val="22"/>
                <w:szCs w:val="22"/>
              </w:rPr>
              <w:t xml:space="preserve">Bildgebende Verfahren sind mit hohen </w:t>
            </w:r>
            <w:r w:rsidR="00DE2DE6" w:rsidRPr="00B07492">
              <w:rPr>
                <w:rFonts w:ascii="Calibri" w:hAnsi="Calibri" w:cs="Calibri"/>
                <w:sz w:val="22"/>
                <w:szCs w:val="22"/>
              </w:rPr>
              <w:t>CO2</w:t>
            </w:r>
            <w:r w:rsidRPr="00B07492">
              <w:rPr>
                <w:rFonts w:ascii="Calibri" w:hAnsi="Calibri" w:cs="Calibri"/>
                <w:color w:val="000000"/>
                <w:sz w:val="22"/>
                <w:szCs w:val="22"/>
              </w:rPr>
              <w:t xml:space="preserve">-Emissionen verbunden. Ein 3 Tesla-MRT produziert 200-300 kg </w:t>
            </w:r>
            <w:r w:rsidR="00DE2DE6" w:rsidRPr="00B07492">
              <w:rPr>
                <w:rFonts w:ascii="Calibri" w:hAnsi="Calibri" w:cs="Calibri"/>
                <w:sz w:val="22"/>
                <w:szCs w:val="22"/>
              </w:rPr>
              <w:t>CO2</w:t>
            </w:r>
            <w:r w:rsidRPr="00B07492">
              <w:rPr>
                <w:rFonts w:ascii="Calibri" w:hAnsi="Calibri" w:cs="Calibri"/>
                <w:color w:val="000000"/>
                <w:sz w:val="22"/>
                <w:szCs w:val="22"/>
              </w:rPr>
              <w:t>e</w:t>
            </w:r>
            <w:r w:rsidR="00DE2DE6" w:rsidRPr="00B07492">
              <w:rPr>
                <w:rFonts w:ascii="Calibri" w:hAnsi="Calibri" w:cs="Calibri"/>
                <w:color w:val="000000"/>
                <w:sz w:val="22"/>
                <w:szCs w:val="22"/>
              </w:rPr>
              <w:t>.</w:t>
            </w:r>
            <w:r w:rsidRPr="00B07492">
              <w:rPr>
                <w:rFonts w:ascii="Calibri" w:hAnsi="Calibri" w:cs="Calibri"/>
                <w:color w:val="000000"/>
                <w:sz w:val="22"/>
                <w:szCs w:val="22"/>
              </w:rPr>
              <w:t xml:space="preserve"> 2016 waren die </w:t>
            </w:r>
            <w:r w:rsidR="00DE2DE6" w:rsidRPr="00B07492">
              <w:rPr>
                <w:rFonts w:ascii="Calibri" w:hAnsi="Calibri" w:cs="Calibri"/>
                <w:sz w:val="22"/>
                <w:szCs w:val="22"/>
              </w:rPr>
              <w:t>CO2</w:t>
            </w:r>
            <w:r w:rsidRPr="00B07492">
              <w:rPr>
                <w:rFonts w:ascii="Calibri" w:hAnsi="Calibri" w:cs="Calibri"/>
                <w:color w:val="000000"/>
                <w:sz w:val="22"/>
                <w:szCs w:val="22"/>
              </w:rPr>
              <w:t>-Emmissionen in 120 Ländern, die du</w:t>
            </w:r>
            <w:r w:rsidR="00DE2DE6" w:rsidRPr="00B07492">
              <w:rPr>
                <w:rFonts w:ascii="Calibri" w:hAnsi="Calibri" w:cs="Calibri"/>
                <w:color w:val="000000"/>
                <w:sz w:val="22"/>
                <w:szCs w:val="22"/>
              </w:rPr>
              <w:t>rch MRTs und CTs verursacht wurden</w:t>
            </w:r>
            <w:r w:rsidRPr="00B07492">
              <w:rPr>
                <w:rFonts w:ascii="Calibri" w:hAnsi="Calibri" w:cs="Calibri"/>
                <w:color w:val="000000"/>
                <w:sz w:val="22"/>
                <w:szCs w:val="22"/>
              </w:rPr>
              <w:t xml:space="preserve"> für 0,77% der gesamten </w:t>
            </w:r>
            <w:r w:rsidR="00DE2DE6" w:rsidRPr="00B07492">
              <w:rPr>
                <w:rFonts w:ascii="Calibri" w:hAnsi="Calibri" w:cs="Calibri"/>
                <w:sz w:val="22"/>
                <w:szCs w:val="22"/>
              </w:rPr>
              <w:t>CO2</w:t>
            </w:r>
            <w:r w:rsidRPr="00B07492">
              <w:rPr>
                <w:rFonts w:ascii="Calibri" w:hAnsi="Calibri" w:cs="Calibri"/>
                <w:color w:val="000000"/>
                <w:sz w:val="22"/>
                <w:szCs w:val="22"/>
              </w:rPr>
              <w:t>-Emissionen verantwortlich. (8)</w:t>
            </w:r>
          </w:p>
        </w:tc>
      </w:tr>
      <w:tr w:rsidR="00BF5616" w:rsidTr="007373B2">
        <w:tc>
          <w:tcPr>
            <w:tcW w:w="0" w:type="auto"/>
            <w:shd w:val="clear" w:color="auto" w:fill="auto"/>
          </w:tcPr>
          <w:tbl>
            <w:tblPr>
              <w:tblW w:w="0" w:type="auto"/>
              <w:tblBorders>
                <w:top w:val="nil"/>
                <w:left w:val="nil"/>
                <w:bottom w:val="nil"/>
                <w:right w:val="nil"/>
              </w:tblBorders>
              <w:tblLook w:val="0000" w:firstRow="0" w:lastRow="0" w:firstColumn="0" w:lastColumn="0" w:noHBand="0" w:noVBand="0"/>
            </w:tblPr>
            <w:tblGrid>
              <w:gridCol w:w="2934"/>
              <w:gridCol w:w="222"/>
            </w:tblGrid>
            <w:tr w:rsidR="00BF5616" w:rsidRPr="00B07492" w:rsidTr="007373B2">
              <w:trPr>
                <w:trHeight w:val="647"/>
              </w:trPr>
              <w:tc>
                <w:tcPr>
                  <w:tcW w:w="0" w:type="auto"/>
                </w:tcPr>
                <w:p w:rsidR="00BF5616" w:rsidRPr="00B07492" w:rsidRDefault="00BF5616" w:rsidP="006F52E2">
                  <w:pPr>
                    <w:suppressAutoHyphens w:val="0"/>
                    <w:autoSpaceDE w:val="0"/>
                    <w:autoSpaceDN w:val="0"/>
                    <w:adjustRightInd w:val="0"/>
                    <w:jc w:val="left"/>
                    <w:rPr>
                      <w:rFonts w:ascii="Calibri" w:hAnsi="Calibri" w:cs="Calibri"/>
                      <w:color w:val="000000"/>
                      <w:sz w:val="22"/>
                      <w:szCs w:val="22"/>
                    </w:rPr>
                  </w:pPr>
                  <w:r w:rsidRPr="00B07492">
                    <w:rPr>
                      <w:rFonts w:ascii="Calibri" w:hAnsi="Calibri" w:cs="Calibri"/>
                      <w:color w:val="000000"/>
                      <w:sz w:val="22"/>
                      <w:szCs w:val="22"/>
                    </w:rPr>
                    <w:t xml:space="preserve">Sparsamer Einsatz von Hämodialyse </w:t>
                  </w:r>
                </w:p>
              </w:tc>
              <w:tc>
                <w:tcPr>
                  <w:tcW w:w="0" w:type="auto"/>
                </w:tcPr>
                <w:p w:rsidR="00BF5616" w:rsidRPr="00B07492" w:rsidRDefault="00BF5616" w:rsidP="007373B2">
                  <w:pPr>
                    <w:autoSpaceDE w:val="0"/>
                    <w:autoSpaceDN w:val="0"/>
                    <w:adjustRightInd w:val="0"/>
                    <w:rPr>
                      <w:rFonts w:ascii="Calibri" w:hAnsi="Calibri" w:cs="Calibri"/>
                      <w:color w:val="000000"/>
                      <w:sz w:val="22"/>
                      <w:szCs w:val="22"/>
                    </w:rPr>
                  </w:pPr>
                </w:p>
              </w:tc>
            </w:tr>
          </w:tbl>
          <w:p w:rsidR="00BF5616" w:rsidRPr="00B07492" w:rsidRDefault="00BF5616" w:rsidP="007373B2">
            <w:pPr>
              <w:rPr>
                <w:rFonts w:ascii="Calibri" w:hAnsi="Calibri" w:cs="Calibri"/>
                <w:sz w:val="22"/>
                <w:szCs w:val="22"/>
              </w:rPr>
            </w:pPr>
          </w:p>
        </w:tc>
        <w:tc>
          <w:tcPr>
            <w:tcW w:w="0" w:type="auto"/>
            <w:shd w:val="clear" w:color="auto" w:fill="auto"/>
          </w:tcPr>
          <w:p w:rsidR="00BF5616" w:rsidRPr="00B07492" w:rsidRDefault="00BF5616" w:rsidP="00435526">
            <w:pPr>
              <w:jc w:val="left"/>
              <w:rPr>
                <w:rFonts w:ascii="Calibri" w:hAnsi="Calibri" w:cs="Calibri"/>
                <w:sz w:val="22"/>
                <w:szCs w:val="22"/>
              </w:rPr>
            </w:pPr>
            <w:r w:rsidRPr="00B07492">
              <w:rPr>
                <w:rFonts w:ascii="Calibri" w:hAnsi="Calibri" w:cs="Calibri"/>
                <w:color w:val="000000"/>
                <w:sz w:val="22"/>
                <w:szCs w:val="22"/>
              </w:rPr>
              <w:t xml:space="preserve">Hämodialysen sind energieaufwändige Verfahren mit hohem Klimafußabdruck, wobei vor allem die pharmazeutischen Komponenten und das medizinische Equipment ins Gewicht fallen. In einer australischen Studie wurde ein jährliches </w:t>
            </w:r>
            <w:r w:rsidR="00DE2DE6" w:rsidRPr="00B07492">
              <w:rPr>
                <w:rFonts w:ascii="Calibri" w:hAnsi="Calibri" w:cs="Calibri"/>
                <w:sz w:val="22"/>
                <w:szCs w:val="22"/>
              </w:rPr>
              <w:t>CO2</w:t>
            </w:r>
            <w:r w:rsidRPr="00B07492">
              <w:rPr>
                <w:rFonts w:ascii="Calibri" w:hAnsi="Calibri" w:cs="Calibri"/>
                <w:color w:val="000000"/>
                <w:sz w:val="22"/>
                <w:szCs w:val="22"/>
              </w:rPr>
              <w:t xml:space="preserve">-Äquivalent von 10,2 Tonnen </w:t>
            </w:r>
            <w:proofErr w:type="gramStart"/>
            <w:r w:rsidRPr="00B07492">
              <w:rPr>
                <w:rFonts w:ascii="Calibri" w:hAnsi="Calibri" w:cs="Calibri"/>
                <w:color w:val="000000"/>
                <w:sz w:val="22"/>
                <w:szCs w:val="22"/>
              </w:rPr>
              <w:t xml:space="preserve">pro </w:t>
            </w:r>
            <w:proofErr w:type="spellStart"/>
            <w:r w:rsidRPr="00B07492">
              <w:rPr>
                <w:rFonts w:ascii="Calibri" w:hAnsi="Calibri" w:cs="Calibri"/>
                <w:color w:val="000000"/>
                <w:sz w:val="22"/>
                <w:szCs w:val="22"/>
              </w:rPr>
              <w:t>Patient</w:t>
            </w:r>
            <w:proofErr w:type="gramEnd"/>
            <w:r w:rsidRPr="00B07492">
              <w:rPr>
                <w:rFonts w:ascii="Calibri" w:hAnsi="Calibri" w:cs="Calibri"/>
                <w:color w:val="000000"/>
                <w:sz w:val="22"/>
                <w:szCs w:val="22"/>
              </w:rPr>
              <w:t>:in</w:t>
            </w:r>
            <w:proofErr w:type="spellEnd"/>
            <w:r w:rsidRPr="00B07492">
              <w:rPr>
                <w:rFonts w:ascii="Calibri" w:hAnsi="Calibri" w:cs="Calibri"/>
                <w:color w:val="000000"/>
                <w:sz w:val="22"/>
                <w:szCs w:val="22"/>
              </w:rPr>
              <w:t xml:space="preserve"> berechnet. (9,10)</w:t>
            </w:r>
          </w:p>
        </w:tc>
      </w:tr>
    </w:tbl>
    <w:p w:rsidR="00BF5616" w:rsidRPr="00490A47" w:rsidRDefault="00BF5616" w:rsidP="00BF5616">
      <w:pPr>
        <w:autoSpaceDE w:val="0"/>
        <w:autoSpaceDN w:val="0"/>
        <w:adjustRightInd w:val="0"/>
        <w:rPr>
          <w:rFonts w:ascii="Calibri" w:hAnsi="Calibri" w:cs="Calibri"/>
          <w:b/>
          <w:color w:val="000000"/>
          <w:sz w:val="20"/>
          <w:szCs w:val="20"/>
        </w:rPr>
      </w:pPr>
      <w:r w:rsidRPr="00490A47">
        <w:rPr>
          <w:rFonts w:ascii="Calibri" w:hAnsi="Calibri" w:cs="Calibri"/>
          <w:b/>
          <w:iCs/>
          <w:color w:val="000000"/>
          <w:sz w:val="20"/>
          <w:szCs w:val="20"/>
        </w:rPr>
        <w:t xml:space="preserve">Literatur: </w:t>
      </w:r>
    </w:p>
    <w:p w:rsidR="00BF5616" w:rsidRPr="00490A47" w:rsidRDefault="00BF5616" w:rsidP="00F91D14">
      <w:pPr>
        <w:autoSpaceDE w:val="0"/>
        <w:autoSpaceDN w:val="0"/>
        <w:adjustRightInd w:val="0"/>
        <w:spacing w:after="20"/>
        <w:rPr>
          <w:sz w:val="20"/>
          <w:szCs w:val="20"/>
        </w:rPr>
      </w:pPr>
      <w:r w:rsidRPr="00490A47">
        <w:rPr>
          <w:rFonts w:ascii="Calibri" w:hAnsi="Calibri" w:cs="Calibri"/>
          <w:iCs/>
          <w:color w:val="000000"/>
          <w:sz w:val="20"/>
          <w:szCs w:val="20"/>
        </w:rPr>
        <w:t xml:space="preserve">1. https://www.klug-entscheiden.com/home/ </w:t>
      </w:r>
      <w:r w:rsidRPr="00490A47">
        <w:rPr>
          <w:rFonts w:ascii="Calibri" w:hAnsi="Calibri" w:cs="Calibri"/>
          <w:iCs/>
          <w:color w:val="202020"/>
          <w:sz w:val="20"/>
          <w:szCs w:val="20"/>
        </w:rPr>
        <w:t xml:space="preserve">2. </w:t>
      </w:r>
      <w:proofErr w:type="spellStart"/>
      <w:r w:rsidRPr="00490A47">
        <w:rPr>
          <w:rFonts w:ascii="Calibri" w:hAnsi="Calibri" w:cs="Calibri"/>
          <w:iCs/>
          <w:color w:val="202020"/>
          <w:sz w:val="20"/>
          <w:szCs w:val="20"/>
          <w:lang w:val="en-US"/>
        </w:rPr>
        <w:t>Sammut</w:t>
      </w:r>
      <w:proofErr w:type="spellEnd"/>
      <w:r w:rsidRPr="00490A47">
        <w:rPr>
          <w:rFonts w:ascii="Calibri" w:hAnsi="Calibri" w:cs="Calibri"/>
          <w:iCs/>
          <w:color w:val="202020"/>
          <w:sz w:val="20"/>
          <w:szCs w:val="20"/>
          <w:lang w:val="en-US"/>
        </w:rPr>
        <w:t xml:space="preserve"> </w:t>
      </w:r>
      <w:proofErr w:type="spellStart"/>
      <w:r w:rsidRPr="00490A47">
        <w:rPr>
          <w:rFonts w:ascii="Calibri" w:hAnsi="Calibri" w:cs="Calibri"/>
          <w:iCs/>
          <w:color w:val="202020"/>
          <w:sz w:val="20"/>
          <w:szCs w:val="20"/>
          <w:lang w:val="en-US"/>
        </w:rPr>
        <w:t>Bartolo</w:t>
      </w:r>
      <w:proofErr w:type="spellEnd"/>
      <w:r w:rsidRPr="00490A47">
        <w:rPr>
          <w:rFonts w:ascii="Calibri" w:hAnsi="Calibri" w:cs="Calibri"/>
          <w:iCs/>
          <w:color w:val="202020"/>
          <w:sz w:val="20"/>
          <w:szCs w:val="20"/>
          <w:lang w:val="en-US"/>
        </w:rPr>
        <w:t xml:space="preserve"> N, Azzopardi LM, </w:t>
      </w:r>
      <w:proofErr w:type="spellStart"/>
      <w:r w:rsidRPr="00490A47">
        <w:rPr>
          <w:rFonts w:ascii="Calibri" w:hAnsi="Calibri" w:cs="Calibri"/>
          <w:iCs/>
          <w:color w:val="202020"/>
          <w:sz w:val="20"/>
          <w:szCs w:val="20"/>
          <w:lang w:val="en-US"/>
        </w:rPr>
        <w:t>Serracino-Inglott</w:t>
      </w:r>
      <w:proofErr w:type="spellEnd"/>
      <w:r w:rsidRPr="00490A47">
        <w:rPr>
          <w:rFonts w:ascii="Calibri" w:hAnsi="Calibri" w:cs="Calibri"/>
          <w:iCs/>
          <w:color w:val="202020"/>
          <w:sz w:val="20"/>
          <w:szCs w:val="20"/>
          <w:lang w:val="en-US"/>
        </w:rPr>
        <w:t xml:space="preserve"> A. Pharmaceuticals and the environment. Early Hum Dev. 2021 </w:t>
      </w:r>
      <w:proofErr w:type="gramStart"/>
      <w:r w:rsidRPr="00490A47">
        <w:rPr>
          <w:rFonts w:ascii="Calibri" w:hAnsi="Calibri" w:cs="Calibri"/>
          <w:iCs/>
          <w:color w:val="202020"/>
          <w:sz w:val="20"/>
          <w:szCs w:val="20"/>
          <w:lang w:val="en-US"/>
        </w:rPr>
        <w:t>Apr;155:105218</w:t>
      </w:r>
      <w:proofErr w:type="gramEnd"/>
      <w:r w:rsidRPr="00490A47">
        <w:rPr>
          <w:rFonts w:ascii="Calibri" w:hAnsi="Calibri" w:cs="Calibri"/>
          <w:iCs/>
          <w:color w:val="202020"/>
          <w:sz w:val="20"/>
          <w:szCs w:val="20"/>
          <w:lang w:val="en-US"/>
        </w:rPr>
        <w:t xml:space="preserve">. </w:t>
      </w:r>
      <w:proofErr w:type="spellStart"/>
      <w:r w:rsidRPr="00490A47">
        <w:rPr>
          <w:rFonts w:ascii="Calibri" w:hAnsi="Calibri" w:cs="Calibri"/>
          <w:iCs/>
          <w:color w:val="202020"/>
          <w:sz w:val="20"/>
          <w:szCs w:val="20"/>
          <w:lang w:val="en-US"/>
        </w:rPr>
        <w:t>doi</w:t>
      </w:r>
      <w:proofErr w:type="spellEnd"/>
      <w:r w:rsidRPr="00490A47">
        <w:rPr>
          <w:rFonts w:ascii="Calibri" w:hAnsi="Calibri" w:cs="Calibri"/>
          <w:iCs/>
          <w:color w:val="202020"/>
          <w:sz w:val="20"/>
          <w:szCs w:val="20"/>
          <w:lang w:val="en-US"/>
        </w:rPr>
        <w:t xml:space="preserve">: 10.1016/j.earlhumdev.2020.105218. </w:t>
      </w:r>
      <w:proofErr w:type="spellStart"/>
      <w:r w:rsidRPr="00490A47">
        <w:rPr>
          <w:rFonts w:ascii="Calibri" w:hAnsi="Calibri" w:cs="Calibri"/>
          <w:iCs/>
          <w:color w:val="202020"/>
          <w:sz w:val="20"/>
          <w:szCs w:val="20"/>
          <w:lang w:val="en-US"/>
        </w:rPr>
        <w:t>Epub</w:t>
      </w:r>
      <w:proofErr w:type="spellEnd"/>
      <w:r w:rsidRPr="00490A47">
        <w:rPr>
          <w:rFonts w:ascii="Calibri" w:hAnsi="Calibri" w:cs="Calibri"/>
          <w:iCs/>
          <w:color w:val="202020"/>
          <w:sz w:val="20"/>
          <w:szCs w:val="20"/>
          <w:lang w:val="en-US"/>
        </w:rPr>
        <w:t xml:space="preserve"> 2020 Oct 1. </w:t>
      </w:r>
      <w:r w:rsidRPr="00490A47">
        <w:rPr>
          <w:rFonts w:ascii="Calibri" w:hAnsi="Calibri" w:cs="Calibri"/>
          <w:iCs/>
          <w:color w:val="202020"/>
          <w:sz w:val="20"/>
          <w:szCs w:val="20"/>
        </w:rPr>
        <w:t xml:space="preserve">PMID: 33067066. </w:t>
      </w:r>
      <w:r w:rsidRPr="00490A47">
        <w:rPr>
          <w:rFonts w:ascii="Calibri" w:hAnsi="Calibri" w:cs="Calibri"/>
          <w:iCs/>
          <w:color w:val="000000"/>
          <w:sz w:val="20"/>
          <w:szCs w:val="20"/>
          <w:lang w:val="en-US"/>
        </w:rPr>
        <w:t xml:space="preserve">3. </w:t>
      </w:r>
      <w:r w:rsidRPr="00490A47">
        <w:rPr>
          <w:rFonts w:ascii="Calibri" w:hAnsi="Calibri" w:cs="Calibri"/>
          <w:iCs/>
          <w:color w:val="202020"/>
          <w:sz w:val="20"/>
          <w:szCs w:val="20"/>
          <w:lang w:val="en-US"/>
        </w:rPr>
        <w:t xml:space="preserve">Malik A, </w:t>
      </w:r>
      <w:proofErr w:type="spellStart"/>
      <w:r w:rsidRPr="00490A47">
        <w:rPr>
          <w:rFonts w:ascii="Calibri" w:hAnsi="Calibri" w:cs="Calibri"/>
          <w:iCs/>
          <w:color w:val="202020"/>
          <w:sz w:val="20"/>
          <w:szCs w:val="20"/>
          <w:lang w:val="en-US"/>
        </w:rPr>
        <w:t>Lenzen</w:t>
      </w:r>
      <w:proofErr w:type="spellEnd"/>
      <w:r w:rsidRPr="00490A47">
        <w:rPr>
          <w:rFonts w:ascii="Calibri" w:hAnsi="Calibri" w:cs="Calibri"/>
          <w:iCs/>
          <w:color w:val="202020"/>
          <w:sz w:val="20"/>
          <w:szCs w:val="20"/>
          <w:lang w:val="en-US"/>
        </w:rPr>
        <w:t xml:space="preserve"> M, McAlister S, </w:t>
      </w:r>
      <w:proofErr w:type="spellStart"/>
      <w:r w:rsidRPr="00490A47">
        <w:rPr>
          <w:rFonts w:ascii="Calibri" w:hAnsi="Calibri" w:cs="Calibri"/>
          <w:iCs/>
          <w:color w:val="202020"/>
          <w:sz w:val="20"/>
          <w:szCs w:val="20"/>
          <w:lang w:val="en-US"/>
        </w:rPr>
        <w:t>McGain</w:t>
      </w:r>
      <w:proofErr w:type="spellEnd"/>
      <w:r w:rsidRPr="00490A47">
        <w:rPr>
          <w:rFonts w:ascii="Calibri" w:hAnsi="Calibri" w:cs="Calibri"/>
          <w:iCs/>
          <w:color w:val="202020"/>
          <w:sz w:val="20"/>
          <w:szCs w:val="20"/>
          <w:lang w:val="en-US"/>
        </w:rPr>
        <w:t xml:space="preserve"> F. The carbon footprint of Australian health care. Lancet Planet Health. 2018 Jan;2(1</w:t>
      </w:r>
      <w:proofErr w:type="gramStart"/>
      <w:r w:rsidRPr="00490A47">
        <w:rPr>
          <w:rFonts w:ascii="Calibri" w:hAnsi="Calibri" w:cs="Calibri"/>
          <w:iCs/>
          <w:color w:val="202020"/>
          <w:sz w:val="20"/>
          <w:szCs w:val="20"/>
          <w:lang w:val="en-US"/>
        </w:rPr>
        <w:t>):e</w:t>
      </w:r>
      <w:proofErr w:type="gramEnd"/>
      <w:r w:rsidRPr="00490A47">
        <w:rPr>
          <w:rFonts w:ascii="Calibri" w:hAnsi="Calibri" w:cs="Calibri"/>
          <w:iCs/>
          <w:color w:val="202020"/>
          <w:sz w:val="20"/>
          <w:szCs w:val="20"/>
          <w:lang w:val="en-US"/>
        </w:rPr>
        <w:t xml:space="preserve">27-e35. </w:t>
      </w:r>
      <w:proofErr w:type="spellStart"/>
      <w:r w:rsidRPr="00490A47">
        <w:rPr>
          <w:rFonts w:ascii="Calibri" w:hAnsi="Calibri" w:cs="Calibri"/>
          <w:iCs/>
          <w:color w:val="202020"/>
          <w:sz w:val="20"/>
          <w:szCs w:val="20"/>
          <w:lang w:val="en-US"/>
        </w:rPr>
        <w:t>doi</w:t>
      </w:r>
      <w:proofErr w:type="spellEnd"/>
      <w:r w:rsidRPr="00490A47">
        <w:rPr>
          <w:rFonts w:ascii="Calibri" w:hAnsi="Calibri" w:cs="Calibri"/>
          <w:iCs/>
          <w:color w:val="202020"/>
          <w:sz w:val="20"/>
          <w:szCs w:val="20"/>
          <w:lang w:val="en-US"/>
        </w:rPr>
        <w:t xml:space="preserve">: 10.1016/S2542-5196(17)30180-8. </w:t>
      </w:r>
      <w:proofErr w:type="spellStart"/>
      <w:r w:rsidRPr="00490A47">
        <w:rPr>
          <w:rFonts w:ascii="Calibri" w:hAnsi="Calibri" w:cs="Calibri"/>
          <w:iCs/>
          <w:color w:val="202020"/>
          <w:sz w:val="20"/>
          <w:szCs w:val="20"/>
          <w:lang w:val="en-US"/>
        </w:rPr>
        <w:t>Epub</w:t>
      </w:r>
      <w:proofErr w:type="spellEnd"/>
      <w:r w:rsidRPr="00490A47">
        <w:rPr>
          <w:rFonts w:ascii="Calibri" w:hAnsi="Calibri" w:cs="Calibri"/>
          <w:iCs/>
          <w:color w:val="202020"/>
          <w:sz w:val="20"/>
          <w:szCs w:val="20"/>
          <w:lang w:val="en-US"/>
        </w:rPr>
        <w:t xml:space="preserve"> 2018 Jan 9. </w:t>
      </w:r>
      <w:r w:rsidRPr="00490A47">
        <w:rPr>
          <w:rFonts w:ascii="Calibri" w:hAnsi="Calibri" w:cs="Calibri"/>
          <w:iCs/>
          <w:color w:val="202020"/>
          <w:sz w:val="20"/>
          <w:szCs w:val="20"/>
        </w:rPr>
        <w:t xml:space="preserve">PMID: 29615206. </w:t>
      </w:r>
      <w:r w:rsidRPr="00490A47">
        <w:rPr>
          <w:rFonts w:ascii="Calibri" w:hAnsi="Calibri" w:cs="Calibri"/>
          <w:iCs/>
          <w:color w:val="202020"/>
          <w:sz w:val="20"/>
          <w:szCs w:val="20"/>
          <w:lang w:val="en-US"/>
        </w:rPr>
        <w:t xml:space="preserve">4. Wu R. The carbon footprint of the Chinese health-care system: an environmentally extended input-output and structural path analysis study. </w:t>
      </w:r>
      <w:r w:rsidRPr="00490A47">
        <w:rPr>
          <w:rFonts w:ascii="Calibri" w:hAnsi="Calibri" w:cs="Calibri"/>
          <w:iCs/>
          <w:color w:val="202020"/>
          <w:sz w:val="20"/>
          <w:szCs w:val="20"/>
        </w:rPr>
        <w:t>Lancet Planet Health. 2019 Oct;3(10</w:t>
      </w:r>
      <w:proofErr w:type="gramStart"/>
      <w:r w:rsidRPr="00490A47">
        <w:rPr>
          <w:rFonts w:ascii="Calibri" w:hAnsi="Calibri" w:cs="Calibri"/>
          <w:iCs/>
          <w:color w:val="202020"/>
          <w:sz w:val="20"/>
          <w:szCs w:val="20"/>
        </w:rPr>
        <w:t>):e</w:t>
      </w:r>
      <w:proofErr w:type="gramEnd"/>
      <w:r w:rsidRPr="00490A47">
        <w:rPr>
          <w:rFonts w:ascii="Calibri" w:hAnsi="Calibri" w:cs="Calibri"/>
          <w:iCs/>
          <w:color w:val="202020"/>
          <w:sz w:val="20"/>
          <w:szCs w:val="20"/>
        </w:rPr>
        <w:t xml:space="preserve">413-e419. </w:t>
      </w:r>
      <w:proofErr w:type="spellStart"/>
      <w:r w:rsidRPr="00490A47">
        <w:rPr>
          <w:rFonts w:ascii="Calibri" w:hAnsi="Calibri" w:cs="Calibri"/>
          <w:iCs/>
          <w:color w:val="202020"/>
          <w:sz w:val="20"/>
          <w:szCs w:val="20"/>
        </w:rPr>
        <w:t>doi</w:t>
      </w:r>
      <w:proofErr w:type="spellEnd"/>
      <w:r w:rsidRPr="00490A47">
        <w:rPr>
          <w:rFonts w:ascii="Calibri" w:hAnsi="Calibri" w:cs="Calibri"/>
          <w:iCs/>
          <w:color w:val="202020"/>
          <w:sz w:val="20"/>
          <w:szCs w:val="20"/>
        </w:rPr>
        <w:t xml:space="preserve">: 10.1016/S2542-5196(19)30192-5. PMID: 31625513. 5. </w:t>
      </w:r>
      <w:proofErr w:type="spellStart"/>
      <w:r w:rsidRPr="00490A47">
        <w:rPr>
          <w:rFonts w:ascii="Calibri" w:hAnsi="Calibri" w:cs="Calibri"/>
          <w:iCs/>
          <w:color w:val="202020"/>
          <w:sz w:val="20"/>
          <w:szCs w:val="20"/>
        </w:rPr>
        <w:t>Wormer</w:t>
      </w:r>
      <w:proofErr w:type="spellEnd"/>
      <w:r w:rsidRPr="00490A47">
        <w:rPr>
          <w:rFonts w:ascii="Calibri" w:hAnsi="Calibri" w:cs="Calibri"/>
          <w:iCs/>
          <w:color w:val="202020"/>
          <w:sz w:val="20"/>
          <w:szCs w:val="20"/>
        </w:rPr>
        <w:t xml:space="preserve"> BA, Augenstein VA, Carpenter CL, Burton PV, </w:t>
      </w:r>
      <w:proofErr w:type="spellStart"/>
      <w:r w:rsidRPr="00490A47">
        <w:rPr>
          <w:rFonts w:ascii="Calibri" w:hAnsi="Calibri" w:cs="Calibri"/>
          <w:iCs/>
          <w:color w:val="202020"/>
          <w:sz w:val="20"/>
          <w:szCs w:val="20"/>
        </w:rPr>
        <w:t>Yokeley</w:t>
      </w:r>
      <w:proofErr w:type="spellEnd"/>
      <w:r w:rsidRPr="00490A47">
        <w:rPr>
          <w:rFonts w:ascii="Calibri" w:hAnsi="Calibri" w:cs="Calibri"/>
          <w:iCs/>
          <w:color w:val="202020"/>
          <w:sz w:val="20"/>
          <w:szCs w:val="20"/>
        </w:rPr>
        <w:t xml:space="preserve"> WT, </w:t>
      </w:r>
      <w:proofErr w:type="spellStart"/>
      <w:r w:rsidRPr="00490A47">
        <w:rPr>
          <w:rFonts w:ascii="Calibri" w:hAnsi="Calibri" w:cs="Calibri"/>
          <w:iCs/>
          <w:color w:val="202020"/>
          <w:sz w:val="20"/>
          <w:szCs w:val="20"/>
        </w:rPr>
        <w:t>Prabhu</w:t>
      </w:r>
      <w:proofErr w:type="spellEnd"/>
      <w:r w:rsidRPr="00490A47">
        <w:rPr>
          <w:rFonts w:ascii="Calibri" w:hAnsi="Calibri" w:cs="Calibri"/>
          <w:iCs/>
          <w:color w:val="202020"/>
          <w:sz w:val="20"/>
          <w:szCs w:val="20"/>
        </w:rPr>
        <w:t xml:space="preserve"> AS, Harris B, Norton S, Klima DA, </w:t>
      </w:r>
      <w:proofErr w:type="spellStart"/>
      <w:r w:rsidRPr="00490A47">
        <w:rPr>
          <w:rFonts w:ascii="Calibri" w:hAnsi="Calibri" w:cs="Calibri"/>
          <w:iCs/>
          <w:color w:val="202020"/>
          <w:sz w:val="20"/>
          <w:szCs w:val="20"/>
        </w:rPr>
        <w:t>Lincourt</w:t>
      </w:r>
      <w:proofErr w:type="spellEnd"/>
      <w:r w:rsidRPr="00490A47">
        <w:rPr>
          <w:rFonts w:ascii="Calibri" w:hAnsi="Calibri" w:cs="Calibri"/>
          <w:iCs/>
          <w:color w:val="202020"/>
          <w:sz w:val="20"/>
          <w:szCs w:val="20"/>
        </w:rPr>
        <w:t xml:space="preserve"> AE, </w:t>
      </w:r>
      <w:proofErr w:type="spellStart"/>
      <w:r w:rsidRPr="00490A47">
        <w:rPr>
          <w:rFonts w:ascii="Calibri" w:hAnsi="Calibri" w:cs="Calibri"/>
          <w:iCs/>
          <w:color w:val="202020"/>
          <w:sz w:val="20"/>
          <w:szCs w:val="20"/>
        </w:rPr>
        <w:t>Heniford</w:t>
      </w:r>
      <w:proofErr w:type="spellEnd"/>
      <w:r w:rsidRPr="00490A47">
        <w:rPr>
          <w:rFonts w:ascii="Calibri" w:hAnsi="Calibri" w:cs="Calibri"/>
          <w:iCs/>
          <w:color w:val="202020"/>
          <w:sz w:val="20"/>
          <w:szCs w:val="20"/>
        </w:rPr>
        <w:t xml:space="preserve"> BT. </w:t>
      </w:r>
      <w:r w:rsidRPr="00490A47">
        <w:rPr>
          <w:rFonts w:ascii="Calibri" w:hAnsi="Calibri" w:cs="Calibri"/>
          <w:iCs/>
          <w:color w:val="202020"/>
          <w:sz w:val="20"/>
          <w:szCs w:val="20"/>
          <w:lang w:val="en-US"/>
        </w:rPr>
        <w:t xml:space="preserve">The green operating room: simple changes to reduce cost and our carbon footprint. </w:t>
      </w:r>
      <w:r w:rsidRPr="00490A47">
        <w:rPr>
          <w:rFonts w:ascii="Calibri" w:hAnsi="Calibri" w:cs="Calibri"/>
          <w:iCs/>
          <w:color w:val="202020"/>
          <w:sz w:val="20"/>
          <w:szCs w:val="20"/>
        </w:rPr>
        <w:t xml:space="preserve">Am </w:t>
      </w:r>
      <w:proofErr w:type="spellStart"/>
      <w:r w:rsidRPr="00490A47">
        <w:rPr>
          <w:rFonts w:ascii="Calibri" w:hAnsi="Calibri" w:cs="Calibri"/>
          <w:iCs/>
          <w:color w:val="202020"/>
          <w:sz w:val="20"/>
          <w:szCs w:val="20"/>
        </w:rPr>
        <w:t>Surg</w:t>
      </w:r>
      <w:proofErr w:type="spellEnd"/>
      <w:r w:rsidRPr="00490A47">
        <w:rPr>
          <w:rFonts w:ascii="Calibri" w:hAnsi="Calibri" w:cs="Calibri"/>
          <w:iCs/>
          <w:color w:val="202020"/>
          <w:sz w:val="20"/>
          <w:szCs w:val="20"/>
        </w:rPr>
        <w:t xml:space="preserve">. 2013 Jul;79(7):666-71. PMID: 23815997. </w:t>
      </w:r>
      <w:r w:rsidRPr="00490A47">
        <w:rPr>
          <w:rFonts w:ascii="Calibri" w:hAnsi="Calibri" w:cs="Calibri"/>
          <w:iCs/>
          <w:color w:val="121312"/>
          <w:sz w:val="20"/>
          <w:szCs w:val="20"/>
          <w:lang w:val="en-US"/>
        </w:rPr>
        <w:t xml:space="preserve">6. </w:t>
      </w:r>
      <w:proofErr w:type="spellStart"/>
      <w:r w:rsidRPr="00490A47">
        <w:rPr>
          <w:rFonts w:ascii="Calibri" w:hAnsi="Calibri" w:cs="Calibri"/>
          <w:iCs/>
          <w:color w:val="121312"/>
          <w:sz w:val="20"/>
          <w:szCs w:val="20"/>
          <w:lang w:val="en-US"/>
        </w:rPr>
        <w:t>Eckelman</w:t>
      </w:r>
      <w:proofErr w:type="spellEnd"/>
      <w:r w:rsidRPr="00490A47">
        <w:rPr>
          <w:rFonts w:ascii="Calibri" w:hAnsi="Calibri" w:cs="Calibri"/>
          <w:iCs/>
          <w:color w:val="121312"/>
          <w:sz w:val="20"/>
          <w:szCs w:val="20"/>
          <w:lang w:val="en-US"/>
        </w:rPr>
        <w:t xml:space="preserve"> MJ, Sherman JD. Estimated global disease burden from US health care sector greenhouse gas emissions. Res </w:t>
      </w:r>
      <w:proofErr w:type="spellStart"/>
      <w:r w:rsidRPr="00490A47">
        <w:rPr>
          <w:rFonts w:ascii="Calibri" w:hAnsi="Calibri" w:cs="Calibri"/>
          <w:iCs/>
          <w:color w:val="121312"/>
          <w:sz w:val="20"/>
          <w:szCs w:val="20"/>
          <w:lang w:val="en-US"/>
        </w:rPr>
        <w:t>Pract</w:t>
      </w:r>
      <w:proofErr w:type="spellEnd"/>
      <w:r w:rsidRPr="00490A47">
        <w:rPr>
          <w:rFonts w:ascii="Calibri" w:hAnsi="Calibri" w:cs="Calibri"/>
          <w:iCs/>
          <w:color w:val="121312"/>
          <w:sz w:val="20"/>
          <w:szCs w:val="20"/>
          <w:lang w:val="en-US"/>
        </w:rPr>
        <w:t>. 2017;108(S2</w:t>
      </w:r>
      <w:proofErr w:type="gramStart"/>
      <w:r w:rsidRPr="00490A47">
        <w:rPr>
          <w:rFonts w:ascii="Calibri" w:hAnsi="Calibri" w:cs="Calibri"/>
          <w:iCs/>
          <w:color w:val="121312"/>
          <w:sz w:val="20"/>
          <w:szCs w:val="20"/>
          <w:lang w:val="en-US"/>
        </w:rPr>
        <w:t>):S</w:t>
      </w:r>
      <w:proofErr w:type="gramEnd"/>
      <w:r w:rsidRPr="00490A47">
        <w:rPr>
          <w:rFonts w:ascii="Calibri" w:hAnsi="Calibri" w:cs="Calibri"/>
          <w:iCs/>
          <w:color w:val="121312"/>
          <w:sz w:val="20"/>
          <w:szCs w:val="20"/>
          <w:lang w:val="en-US"/>
        </w:rPr>
        <w:t xml:space="preserve">120–2. </w:t>
      </w:r>
      <w:r w:rsidRPr="00490A47">
        <w:rPr>
          <w:rFonts w:ascii="Calibri" w:hAnsi="Calibri" w:cs="Calibri"/>
          <w:iCs/>
          <w:color w:val="202020"/>
          <w:sz w:val="20"/>
          <w:szCs w:val="20"/>
          <w:lang w:val="en-US"/>
        </w:rPr>
        <w:t xml:space="preserve">7. MacNeill AJ, Lillywhite R, Brown CJ. The impact of surgery on global climate: a carbon </w:t>
      </w:r>
      <w:proofErr w:type="spellStart"/>
      <w:r w:rsidRPr="00490A47">
        <w:rPr>
          <w:rFonts w:ascii="Calibri" w:hAnsi="Calibri" w:cs="Calibri"/>
          <w:iCs/>
          <w:color w:val="202020"/>
          <w:sz w:val="20"/>
          <w:szCs w:val="20"/>
          <w:lang w:val="en-US"/>
        </w:rPr>
        <w:t>footprinting</w:t>
      </w:r>
      <w:proofErr w:type="spellEnd"/>
      <w:r w:rsidRPr="00490A47">
        <w:rPr>
          <w:rFonts w:ascii="Calibri" w:hAnsi="Calibri" w:cs="Calibri"/>
          <w:iCs/>
          <w:color w:val="202020"/>
          <w:sz w:val="20"/>
          <w:szCs w:val="20"/>
          <w:lang w:val="en-US"/>
        </w:rPr>
        <w:t xml:space="preserve"> study of operating theatres in three health systems. Lancet Planet Health. 2017 Dec;1(9</w:t>
      </w:r>
      <w:proofErr w:type="gramStart"/>
      <w:r w:rsidRPr="00490A47">
        <w:rPr>
          <w:rFonts w:ascii="Calibri" w:hAnsi="Calibri" w:cs="Calibri"/>
          <w:iCs/>
          <w:color w:val="202020"/>
          <w:sz w:val="20"/>
          <w:szCs w:val="20"/>
          <w:lang w:val="en-US"/>
        </w:rPr>
        <w:t>):e</w:t>
      </w:r>
      <w:proofErr w:type="gramEnd"/>
      <w:r w:rsidRPr="00490A47">
        <w:rPr>
          <w:rFonts w:ascii="Calibri" w:hAnsi="Calibri" w:cs="Calibri"/>
          <w:iCs/>
          <w:color w:val="202020"/>
          <w:sz w:val="20"/>
          <w:szCs w:val="20"/>
          <w:lang w:val="en-US"/>
        </w:rPr>
        <w:t xml:space="preserve">381-e388. </w:t>
      </w:r>
      <w:proofErr w:type="spellStart"/>
      <w:r w:rsidRPr="00490A47">
        <w:rPr>
          <w:rFonts w:ascii="Calibri" w:hAnsi="Calibri" w:cs="Calibri"/>
          <w:iCs/>
          <w:color w:val="202020"/>
          <w:sz w:val="20"/>
          <w:szCs w:val="20"/>
          <w:lang w:val="en-US"/>
        </w:rPr>
        <w:t>doi</w:t>
      </w:r>
      <w:proofErr w:type="spellEnd"/>
      <w:r w:rsidRPr="00490A47">
        <w:rPr>
          <w:rFonts w:ascii="Calibri" w:hAnsi="Calibri" w:cs="Calibri"/>
          <w:iCs/>
          <w:color w:val="202020"/>
          <w:sz w:val="20"/>
          <w:szCs w:val="20"/>
          <w:lang w:val="en-US"/>
        </w:rPr>
        <w:t xml:space="preserve">: 10.1016/S2542-5196(17)30162-6. </w:t>
      </w:r>
      <w:proofErr w:type="spellStart"/>
      <w:r w:rsidRPr="00490A47">
        <w:rPr>
          <w:rFonts w:ascii="Calibri" w:hAnsi="Calibri" w:cs="Calibri"/>
          <w:iCs/>
          <w:color w:val="202020"/>
          <w:sz w:val="20"/>
          <w:szCs w:val="20"/>
          <w:lang w:val="en-US"/>
        </w:rPr>
        <w:t>Epub</w:t>
      </w:r>
      <w:proofErr w:type="spellEnd"/>
      <w:r w:rsidRPr="00490A47">
        <w:rPr>
          <w:rFonts w:ascii="Calibri" w:hAnsi="Calibri" w:cs="Calibri"/>
          <w:iCs/>
          <w:color w:val="202020"/>
          <w:sz w:val="20"/>
          <w:szCs w:val="20"/>
          <w:lang w:val="en-US"/>
        </w:rPr>
        <w:t xml:space="preserve"> 2017 Dec 8. </w:t>
      </w:r>
      <w:r w:rsidRPr="00490A47">
        <w:rPr>
          <w:rFonts w:ascii="Calibri" w:hAnsi="Calibri" w:cs="Calibri"/>
          <w:iCs/>
          <w:color w:val="202020"/>
          <w:sz w:val="20"/>
          <w:szCs w:val="20"/>
        </w:rPr>
        <w:t xml:space="preserve">PMID: 29851650. </w:t>
      </w:r>
      <w:r w:rsidRPr="00490A47">
        <w:rPr>
          <w:rFonts w:ascii="Calibri" w:hAnsi="Calibri" w:cs="Calibri"/>
          <w:iCs/>
          <w:color w:val="202020"/>
          <w:sz w:val="20"/>
          <w:szCs w:val="20"/>
          <w:lang w:val="en-US"/>
        </w:rPr>
        <w:t xml:space="preserve">8. </w:t>
      </w:r>
      <w:proofErr w:type="spellStart"/>
      <w:r w:rsidRPr="00490A47">
        <w:rPr>
          <w:rFonts w:ascii="Calibri" w:hAnsi="Calibri" w:cs="Calibri"/>
          <w:iCs/>
          <w:color w:val="202020"/>
          <w:sz w:val="20"/>
          <w:szCs w:val="20"/>
          <w:lang w:val="en-US"/>
        </w:rPr>
        <w:t>Picano</w:t>
      </w:r>
      <w:proofErr w:type="spellEnd"/>
      <w:r w:rsidRPr="00490A47">
        <w:rPr>
          <w:rFonts w:ascii="Calibri" w:hAnsi="Calibri" w:cs="Calibri"/>
          <w:iCs/>
          <w:color w:val="202020"/>
          <w:sz w:val="20"/>
          <w:szCs w:val="20"/>
          <w:lang w:val="en-US"/>
        </w:rPr>
        <w:t xml:space="preserve"> E. Environmental sustainability of medical imaging. Acta </w:t>
      </w:r>
      <w:proofErr w:type="spellStart"/>
      <w:r w:rsidRPr="00490A47">
        <w:rPr>
          <w:rFonts w:ascii="Calibri" w:hAnsi="Calibri" w:cs="Calibri"/>
          <w:iCs/>
          <w:color w:val="202020"/>
          <w:sz w:val="20"/>
          <w:szCs w:val="20"/>
          <w:lang w:val="en-US"/>
        </w:rPr>
        <w:t>Cardiol</w:t>
      </w:r>
      <w:proofErr w:type="spellEnd"/>
      <w:r w:rsidRPr="00490A47">
        <w:rPr>
          <w:rFonts w:ascii="Calibri" w:hAnsi="Calibri" w:cs="Calibri"/>
          <w:iCs/>
          <w:color w:val="202020"/>
          <w:sz w:val="20"/>
          <w:szCs w:val="20"/>
          <w:lang w:val="en-US"/>
        </w:rPr>
        <w:t xml:space="preserve">. 2020 Sep 9:1-5. </w:t>
      </w:r>
      <w:proofErr w:type="spellStart"/>
      <w:r w:rsidRPr="00490A47">
        <w:rPr>
          <w:rFonts w:ascii="Calibri" w:hAnsi="Calibri" w:cs="Calibri"/>
          <w:iCs/>
          <w:color w:val="202020"/>
          <w:sz w:val="20"/>
          <w:szCs w:val="20"/>
          <w:lang w:val="en-US"/>
        </w:rPr>
        <w:t>doi</w:t>
      </w:r>
      <w:proofErr w:type="spellEnd"/>
      <w:r w:rsidRPr="00490A47">
        <w:rPr>
          <w:rFonts w:ascii="Calibri" w:hAnsi="Calibri" w:cs="Calibri"/>
          <w:iCs/>
          <w:color w:val="202020"/>
          <w:sz w:val="20"/>
          <w:szCs w:val="20"/>
          <w:lang w:val="en-US"/>
        </w:rPr>
        <w:t xml:space="preserve">: 10.1080/00015385.2020.1815985. </w:t>
      </w:r>
      <w:proofErr w:type="spellStart"/>
      <w:r w:rsidRPr="00490A47">
        <w:rPr>
          <w:rFonts w:ascii="Calibri" w:hAnsi="Calibri" w:cs="Calibri"/>
          <w:iCs/>
          <w:color w:val="202020"/>
          <w:sz w:val="20"/>
          <w:szCs w:val="20"/>
          <w:lang w:val="en-US"/>
        </w:rPr>
        <w:t>Epub</w:t>
      </w:r>
      <w:proofErr w:type="spellEnd"/>
      <w:r w:rsidRPr="00490A47">
        <w:rPr>
          <w:rFonts w:ascii="Calibri" w:hAnsi="Calibri" w:cs="Calibri"/>
          <w:iCs/>
          <w:color w:val="202020"/>
          <w:sz w:val="20"/>
          <w:szCs w:val="20"/>
          <w:lang w:val="en-US"/>
        </w:rPr>
        <w:t xml:space="preserve"> ahead of print. PMID: 32901579. 9. Lim AE, Perkins A, Agar JW. The carbon footprint of an Australian satellite </w:t>
      </w:r>
      <w:proofErr w:type="spellStart"/>
      <w:r w:rsidRPr="00490A47">
        <w:rPr>
          <w:rFonts w:ascii="Calibri" w:hAnsi="Calibri" w:cs="Calibri"/>
          <w:iCs/>
          <w:color w:val="202020"/>
          <w:sz w:val="20"/>
          <w:szCs w:val="20"/>
          <w:lang w:val="en-US"/>
        </w:rPr>
        <w:t>haemodialysis</w:t>
      </w:r>
      <w:proofErr w:type="spellEnd"/>
      <w:r w:rsidRPr="00490A47">
        <w:rPr>
          <w:rFonts w:ascii="Calibri" w:hAnsi="Calibri" w:cs="Calibri"/>
          <w:iCs/>
          <w:color w:val="202020"/>
          <w:sz w:val="20"/>
          <w:szCs w:val="20"/>
          <w:lang w:val="en-US"/>
        </w:rPr>
        <w:t xml:space="preserve"> unit. Aust Health Rev. 2013 Jun;37(3):369-74. </w:t>
      </w:r>
      <w:proofErr w:type="spellStart"/>
      <w:r w:rsidRPr="00490A47">
        <w:rPr>
          <w:rFonts w:ascii="Calibri" w:hAnsi="Calibri" w:cs="Calibri"/>
          <w:iCs/>
          <w:color w:val="202020"/>
          <w:sz w:val="20"/>
          <w:szCs w:val="20"/>
          <w:lang w:val="en-US"/>
        </w:rPr>
        <w:t>doi</w:t>
      </w:r>
      <w:proofErr w:type="spellEnd"/>
      <w:r w:rsidRPr="00490A47">
        <w:rPr>
          <w:rFonts w:ascii="Calibri" w:hAnsi="Calibri" w:cs="Calibri"/>
          <w:iCs/>
          <w:color w:val="202020"/>
          <w:sz w:val="20"/>
          <w:szCs w:val="20"/>
          <w:lang w:val="en-US"/>
        </w:rPr>
        <w:t xml:space="preserve">: 10.1071/AH13022. PMID: 23731962. 10. Connor A, Lillywhite R, Cooke MW. The carbon footprint of a renal service in the United Kingdom. </w:t>
      </w:r>
      <w:r w:rsidRPr="00490A47">
        <w:rPr>
          <w:rFonts w:ascii="Calibri" w:hAnsi="Calibri" w:cs="Calibri"/>
          <w:iCs/>
          <w:color w:val="202020"/>
          <w:sz w:val="20"/>
          <w:szCs w:val="20"/>
        </w:rPr>
        <w:t xml:space="preserve">QJM. 2010 Dec;103(12):965-75. </w:t>
      </w:r>
      <w:proofErr w:type="spellStart"/>
      <w:r w:rsidRPr="00490A47">
        <w:rPr>
          <w:rFonts w:ascii="Calibri" w:hAnsi="Calibri" w:cs="Calibri"/>
          <w:iCs/>
          <w:color w:val="202020"/>
          <w:sz w:val="20"/>
          <w:szCs w:val="20"/>
        </w:rPr>
        <w:t>doi</w:t>
      </w:r>
      <w:proofErr w:type="spellEnd"/>
      <w:r w:rsidRPr="00490A47">
        <w:rPr>
          <w:rFonts w:ascii="Calibri" w:hAnsi="Calibri" w:cs="Calibri"/>
          <w:iCs/>
          <w:color w:val="202020"/>
          <w:sz w:val="20"/>
          <w:szCs w:val="20"/>
        </w:rPr>
        <w:t>: 10.1093/</w:t>
      </w:r>
      <w:proofErr w:type="spellStart"/>
      <w:r w:rsidRPr="00490A47">
        <w:rPr>
          <w:rFonts w:ascii="Calibri" w:hAnsi="Calibri" w:cs="Calibri"/>
          <w:iCs/>
          <w:color w:val="202020"/>
          <w:sz w:val="20"/>
          <w:szCs w:val="20"/>
        </w:rPr>
        <w:t>qjmed</w:t>
      </w:r>
      <w:proofErr w:type="spellEnd"/>
      <w:r w:rsidRPr="00490A47">
        <w:rPr>
          <w:rFonts w:ascii="Calibri" w:hAnsi="Calibri" w:cs="Calibri"/>
          <w:iCs/>
          <w:color w:val="202020"/>
          <w:sz w:val="20"/>
          <w:szCs w:val="20"/>
        </w:rPr>
        <w:t xml:space="preserve">/hcq150. </w:t>
      </w:r>
      <w:proofErr w:type="spellStart"/>
      <w:r w:rsidRPr="00490A47">
        <w:rPr>
          <w:rFonts w:ascii="Calibri" w:hAnsi="Calibri" w:cs="Calibri"/>
          <w:iCs/>
          <w:color w:val="202020"/>
          <w:sz w:val="20"/>
          <w:szCs w:val="20"/>
        </w:rPr>
        <w:t>Epub</w:t>
      </w:r>
      <w:proofErr w:type="spellEnd"/>
      <w:r w:rsidRPr="00490A47">
        <w:rPr>
          <w:rFonts w:ascii="Calibri" w:hAnsi="Calibri" w:cs="Calibri"/>
          <w:iCs/>
          <w:color w:val="202020"/>
          <w:sz w:val="20"/>
          <w:szCs w:val="20"/>
        </w:rPr>
        <w:t xml:space="preserve"> 2010 Aug 18. PMID: 20719900. </w:t>
      </w:r>
    </w:p>
    <w:sectPr w:rsidR="00BF5616" w:rsidRPr="00490A47" w:rsidSect="00D85BB9">
      <w:footerReference w:type="default" r:id="rId11"/>
      <w:headerReference w:type="first" r:id="rId12"/>
      <w:footerReference w:type="first" r:id="rId13"/>
      <w:pgSz w:w="16838" w:h="11906" w:orient="landscape"/>
      <w:pgMar w:top="1418" w:right="567" w:bottom="1418" w:left="1134" w:header="709" w:footer="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67C1" w:rsidRDefault="00BC67C1">
      <w:r>
        <w:separator/>
      </w:r>
    </w:p>
  </w:endnote>
  <w:endnote w:type="continuationSeparator" w:id="0">
    <w:p w:rsidR="00BC67C1" w:rsidRDefault="00BC6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C04" w:rsidRDefault="0069326E" w:rsidP="00223ACF">
    <w:pPr>
      <w:pStyle w:val="Fuzeile"/>
    </w:pPr>
    <w:r>
      <w:rPr>
        <w:noProof/>
      </w:rPr>
      <mc:AlternateContent>
        <mc:Choice Requires="wps">
          <w:drawing>
            <wp:anchor distT="0" distB="0" distL="114300" distR="114300" simplePos="0" relativeHeight="251657728" behindDoc="0" locked="0" layoutInCell="1" allowOverlap="1">
              <wp:simplePos x="0" y="0"/>
              <wp:positionH relativeFrom="column">
                <wp:posOffset>-207645</wp:posOffset>
              </wp:positionH>
              <wp:positionV relativeFrom="paragraph">
                <wp:posOffset>-708660</wp:posOffset>
              </wp:positionV>
              <wp:extent cx="5829300" cy="0"/>
              <wp:effectExtent l="11430" t="5715" r="7620" b="1333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B061C0"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55.8pt" to="442.65pt,-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" strokeweight=".26mm">
              <v:stroke joinstyle="miter" endcap="squar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0" w:type="dxa"/>
        <w:right w:w="70" w:type="dxa"/>
      </w:tblCellMar>
      <w:tblLook w:val="0000" w:firstRow="0" w:lastRow="0" w:firstColumn="0" w:lastColumn="0" w:noHBand="0" w:noVBand="0"/>
    </w:tblPr>
    <w:tblGrid>
      <w:gridCol w:w="1842"/>
      <w:gridCol w:w="1053"/>
      <w:gridCol w:w="1808"/>
      <w:gridCol w:w="1808"/>
      <w:gridCol w:w="2699"/>
    </w:tblGrid>
    <w:tr w:rsidR="00FD6C04">
      <w:tc>
        <w:tcPr>
          <w:tcW w:w="1842" w:type="dxa"/>
          <w:shd w:val="clear" w:color="auto" w:fill="auto"/>
        </w:tcPr>
        <w:p w:rsidR="00FD6C04" w:rsidRDefault="00FD6C04">
          <w:pPr>
            <w:pStyle w:val="Fuzeile"/>
            <w:jc w:val="left"/>
            <w:rPr>
              <w:sz w:val="16"/>
            </w:rPr>
          </w:pPr>
        </w:p>
      </w:tc>
      <w:tc>
        <w:tcPr>
          <w:tcW w:w="1053" w:type="dxa"/>
          <w:shd w:val="clear" w:color="auto" w:fill="auto"/>
        </w:tcPr>
        <w:p w:rsidR="00FD6C04" w:rsidRDefault="00FD6C04">
          <w:pPr>
            <w:pStyle w:val="Fuzeile"/>
            <w:jc w:val="left"/>
            <w:rPr>
              <w:sz w:val="16"/>
              <w:lang w:eastAsia="de-DE"/>
            </w:rPr>
          </w:pPr>
        </w:p>
      </w:tc>
      <w:tc>
        <w:tcPr>
          <w:tcW w:w="1808" w:type="dxa"/>
          <w:shd w:val="clear" w:color="auto" w:fill="auto"/>
        </w:tcPr>
        <w:p w:rsidR="00FD6C04" w:rsidRDefault="00FD6C04">
          <w:pPr>
            <w:pStyle w:val="Fuzeile"/>
            <w:jc w:val="left"/>
            <w:rPr>
              <w:sz w:val="16"/>
            </w:rPr>
          </w:pPr>
        </w:p>
      </w:tc>
      <w:tc>
        <w:tcPr>
          <w:tcW w:w="1808" w:type="dxa"/>
          <w:shd w:val="clear" w:color="auto" w:fill="auto"/>
        </w:tcPr>
        <w:p w:rsidR="00FD6C04" w:rsidRDefault="00FD6C04">
          <w:pPr>
            <w:pStyle w:val="Fuzeile"/>
          </w:pPr>
        </w:p>
      </w:tc>
      <w:tc>
        <w:tcPr>
          <w:tcW w:w="2699" w:type="dxa"/>
          <w:shd w:val="clear" w:color="auto" w:fill="auto"/>
        </w:tcPr>
        <w:p w:rsidR="00FD6C04" w:rsidRDefault="00FD6C04">
          <w:pPr>
            <w:pStyle w:val="Fuzeile"/>
            <w:jc w:val="right"/>
          </w:pPr>
        </w:p>
      </w:tc>
    </w:tr>
    <w:tr w:rsidR="00FD6C04">
      <w:tc>
        <w:tcPr>
          <w:tcW w:w="1842" w:type="dxa"/>
          <w:shd w:val="clear" w:color="auto" w:fill="auto"/>
        </w:tcPr>
        <w:p w:rsidR="00FD6C04" w:rsidRDefault="00FD6C04">
          <w:pPr>
            <w:pStyle w:val="Fuzeile"/>
            <w:jc w:val="left"/>
            <w:rPr>
              <w:sz w:val="16"/>
              <w:lang w:eastAsia="de-DE"/>
            </w:rPr>
          </w:pPr>
        </w:p>
      </w:tc>
      <w:tc>
        <w:tcPr>
          <w:tcW w:w="1053" w:type="dxa"/>
          <w:shd w:val="clear" w:color="auto" w:fill="auto"/>
        </w:tcPr>
        <w:p w:rsidR="00FD6C04" w:rsidRDefault="00FD6C04">
          <w:pPr>
            <w:pStyle w:val="Fuzeile"/>
            <w:snapToGrid w:val="0"/>
            <w:jc w:val="left"/>
            <w:rPr>
              <w:sz w:val="16"/>
              <w:lang w:eastAsia="de-DE"/>
            </w:rPr>
          </w:pPr>
        </w:p>
      </w:tc>
      <w:tc>
        <w:tcPr>
          <w:tcW w:w="1808" w:type="dxa"/>
          <w:shd w:val="clear" w:color="auto" w:fill="auto"/>
        </w:tcPr>
        <w:p w:rsidR="00FD6C04" w:rsidRDefault="00FD6C04">
          <w:pPr>
            <w:pStyle w:val="Fuzeile"/>
            <w:jc w:val="left"/>
            <w:rPr>
              <w:sz w:val="16"/>
            </w:rPr>
          </w:pPr>
        </w:p>
      </w:tc>
      <w:tc>
        <w:tcPr>
          <w:tcW w:w="1808" w:type="dxa"/>
          <w:shd w:val="clear" w:color="auto" w:fill="auto"/>
        </w:tcPr>
        <w:p w:rsidR="00FD6C04" w:rsidRDefault="00FD6C04">
          <w:pPr>
            <w:pStyle w:val="Fuzeile"/>
            <w:rPr>
              <w:sz w:val="16"/>
            </w:rPr>
          </w:pPr>
        </w:p>
      </w:tc>
      <w:tc>
        <w:tcPr>
          <w:tcW w:w="2699" w:type="dxa"/>
          <w:shd w:val="clear" w:color="auto" w:fill="auto"/>
        </w:tcPr>
        <w:p w:rsidR="00FD6C04" w:rsidRDefault="00FD6C04">
          <w:pPr>
            <w:pStyle w:val="Fuzeile"/>
            <w:jc w:val="right"/>
          </w:pPr>
        </w:p>
      </w:tc>
    </w:tr>
  </w:tbl>
  <w:p w:rsidR="00FD6C04" w:rsidRDefault="00FD6C0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67C1" w:rsidRDefault="00BC67C1">
      <w:r>
        <w:separator/>
      </w:r>
    </w:p>
  </w:footnote>
  <w:footnote w:type="continuationSeparator" w:id="0">
    <w:p w:rsidR="00BC67C1" w:rsidRDefault="00BC6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0" w:type="dxa"/>
        <w:right w:w="70" w:type="dxa"/>
      </w:tblCellMar>
      <w:tblLook w:val="0000" w:firstRow="0" w:lastRow="0" w:firstColumn="0" w:lastColumn="0" w:noHBand="0" w:noVBand="0"/>
    </w:tblPr>
    <w:tblGrid>
      <w:gridCol w:w="8142"/>
      <w:gridCol w:w="1068"/>
    </w:tblGrid>
    <w:tr w:rsidR="00FD6C04">
      <w:trPr>
        <w:cantSplit/>
        <w:trHeight w:val="579"/>
      </w:trPr>
      <w:tc>
        <w:tcPr>
          <w:tcW w:w="8142" w:type="dxa"/>
          <w:shd w:val="clear" w:color="auto" w:fill="auto"/>
        </w:tcPr>
        <w:p w:rsidR="00FD6C04" w:rsidRDefault="00FD6C04" w:rsidP="00E70B13">
          <w:pPr>
            <w:pStyle w:val="Kopfzeile"/>
            <w:tabs>
              <w:tab w:val="clear" w:pos="4536"/>
              <w:tab w:val="clear" w:pos="9072"/>
            </w:tabs>
            <w:jc w:val="center"/>
            <w:rPr>
              <w:sz w:val="22"/>
            </w:rPr>
          </w:pPr>
        </w:p>
      </w:tc>
      <w:tc>
        <w:tcPr>
          <w:tcW w:w="1068" w:type="dxa"/>
          <w:vMerge w:val="restart"/>
          <w:shd w:val="clear" w:color="auto" w:fill="auto"/>
          <w:vAlign w:val="center"/>
        </w:tcPr>
        <w:p w:rsidR="00FD6C04" w:rsidRDefault="00FD6C04">
          <w:pPr>
            <w:pStyle w:val="Kopfzeile"/>
            <w:tabs>
              <w:tab w:val="clear" w:pos="4536"/>
              <w:tab w:val="clear" w:pos="9072"/>
            </w:tabs>
            <w:snapToGrid w:val="0"/>
            <w:jc w:val="center"/>
            <w:rPr>
              <w:sz w:val="22"/>
            </w:rPr>
          </w:pPr>
        </w:p>
        <w:p w:rsidR="00FD6C04" w:rsidRDefault="00FD6C04">
          <w:pPr>
            <w:pStyle w:val="Kopfzeile"/>
            <w:tabs>
              <w:tab w:val="clear" w:pos="4536"/>
              <w:tab w:val="clear" w:pos="9072"/>
            </w:tabs>
            <w:jc w:val="center"/>
            <w:rPr>
              <w:sz w:val="22"/>
            </w:rPr>
          </w:pPr>
          <w:r>
            <w:rPr>
              <w:rFonts w:eastAsia="Arial"/>
              <w:sz w:val="22"/>
            </w:rPr>
            <w:t xml:space="preserve"> </w:t>
          </w:r>
        </w:p>
        <w:p w:rsidR="00FD6C04" w:rsidRDefault="00FD6C04">
          <w:pPr>
            <w:pStyle w:val="Kopfzeile"/>
            <w:tabs>
              <w:tab w:val="clear" w:pos="4536"/>
              <w:tab w:val="clear" w:pos="9072"/>
            </w:tabs>
            <w:jc w:val="center"/>
            <w:rPr>
              <w:sz w:val="22"/>
            </w:rPr>
          </w:pPr>
        </w:p>
      </w:tc>
    </w:tr>
    <w:tr w:rsidR="00FD6C04">
      <w:trPr>
        <w:cantSplit/>
        <w:trHeight w:val="578"/>
      </w:trPr>
      <w:tc>
        <w:tcPr>
          <w:tcW w:w="8142" w:type="dxa"/>
          <w:tcBorders>
            <w:bottom w:val="single" w:sz="4" w:space="0" w:color="000000"/>
          </w:tcBorders>
          <w:shd w:val="clear" w:color="auto" w:fill="auto"/>
          <w:vAlign w:val="center"/>
        </w:tcPr>
        <w:p w:rsidR="00D85F81" w:rsidRPr="0046700E" w:rsidRDefault="00D57024" w:rsidP="00D85F81">
          <w:pPr>
            <w:pStyle w:val="Kopfzeile"/>
            <w:tabs>
              <w:tab w:val="clear" w:pos="4536"/>
              <w:tab w:val="clear" w:pos="9072"/>
            </w:tabs>
            <w:jc w:val="center"/>
            <w:rPr>
              <w:rFonts w:ascii="Calibri" w:hAnsi="Calibri" w:cs="Calibri"/>
              <w:sz w:val="28"/>
              <w:szCs w:val="28"/>
            </w:rPr>
          </w:pPr>
          <w:r>
            <w:rPr>
              <w:rFonts w:ascii="Calibri" w:hAnsi="Calibri" w:cs="Calibri"/>
              <w:b/>
              <w:sz w:val="28"/>
              <w:szCs w:val="28"/>
            </w:rPr>
            <w:t>FB</w:t>
          </w:r>
          <w:r w:rsidR="009A6B48" w:rsidRPr="0046700E">
            <w:rPr>
              <w:rFonts w:ascii="Calibri" w:hAnsi="Calibri" w:cs="Calibri"/>
              <w:b/>
              <w:sz w:val="28"/>
              <w:szCs w:val="28"/>
            </w:rPr>
            <w:t xml:space="preserve"> </w:t>
          </w:r>
          <w:r w:rsidR="00116E0F">
            <w:rPr>
              <w:rFonts w:ascii="Calibri" w:hAnsi="Calibri" w:cs="Calibri"/>
              <w:b/>
              <w:sz w:val="28"/>
              <w:szCs w:val="28"/>
            </w:rPr>
            <w:t>Klug entscheiden</w:t>
          </w:r>
        </w:p>
      </w:tc>
      <w:tc>
        <w:tcPr>
          <w:tcW w:w="1068" w:type="dxa"/>
          <w:vMerge/>
          <w:tcBorders>
            <w:bottom w:val="single" w:sz="4" w:space="0" w:color="000000"/>
          </w:tcBorders>
          <w:shd w:val="clear" w:color="auto" w:fill="auto"/>
          <w:vAlign w:val="center"/>
        </w:tcPr>
        <w:p w:rsidR="00FD6C04" w:rsidRDefault="00FD6C04">
          <w:pPr>
            <w:pStyle w:val="Kopfzeile"/>
            <w:snapToGrid w:val="0"/>
            <w:jc w:val="center"/>
            <w:rPr>
              <w:sz w:val="22"/>
            </w:rPr>
          </w:pPr>
        </w:p>
      </w:tc>
    </w:tr>
  </w:tbl>
  <w:p w:rsidR="00FD6C04" w:rsidRDefault="00FD6C04">
    <w:pPr>
      <w:pStyle w:val="Kopfzeile"/>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DF2B307"/>
    <w:multiLevelType w:val="hybridMultilevel"/>
    <w:tmpl w:val="C1A73341"/>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D9E3571"/>
    <w:multiLevelType w:val="hybridMultilevel"/>
    <w:tmpl w:val="72683B2A"/>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A40F756"/>
    <w:multiLevelType w:val="hybridMultilevel"/>
    <w:tmpl w:val="375E5751"/>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810E017"/>
    <w:multiLevelType w:val="hybridMultilevel"/>
    <w:tmpl w:val="2A6B26BE"/>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2"/>
    <w:multiLevelType w:val="multilevel"/>
    <w:tmpl w:val="00000002"/>
    <w:name w:val="WW8Num1"/>
    <w:lvl w:ilvl="0">
      <w:start w:val="1"/>
      <w:numFmt w:val="none"/>
      <w:pStyle w:val="berschrift1"/>
      <w:suff w:val="nothing"/>
      <w:lvlText w:val=""/>
      <w:lvlJc w:val="left"/>
      <w:pPr>
        <w:tabs>
          <w:tab w:val="num" w:pos="0"/>
        </w:tabs>
        <w:ind w:left="432" w:hanging="432"/>
      </w:pPr>
    </w:lvl>
    <w:lvl w:ilvl="1">
      <w:start w:val="1"/>
      <w:numFmt w:val="none"/>
      <w:pStyle w:val="berschrift2"/>
      <w:suff w:val="nothing"/>
      <w:lvlText w:val=""/>
      <w:lvlJc w:val="left"/>
      <w:pPr>
        <w:tabs>
          <w:tab w:val="num" w:pos="0"/>
        </w:tabs>
        <w:ind w:left="576" w:hanging="576"/>
      </w:pPr>
    </w:lvl>
    <w:lvl w:ilvl="2">
      <w:start w:val="1"/>
      <w:numFmt w:val="none"/>
      <w:pStyle w:val="berschrift3"/>
      <w:suff w:val="nothing"/>
      <w:lvlText w:val=""/>
      <w:lvlJc w:val="left"/>
      <w:pPr>
        <w:tabs>
          <w:tab w:val="num" w:pos="0"/>
        </w:tabs>
        <w:ind w:left="720" w:hanging="720"/>
      </w:pPr>
    </w:lvl>
    <w:lvl w:ilvl="3">
      <w:start w:val="1"/>
      <w:numFmt w:val="none"/>
      <w:pStyle w:val="berschrift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0000003"/>
    <w:multiLevelType w:val="multilevel"/>
    <w:tmpl w:val="00000003"/>
    <w:name w:val="WW8Num3"/>
    <w:lvl w:ilvl="0">
      <w:start w:val="1"/>
      <w:numFmt w:val="none"/>
      <w:pStyle w:val="berschrift5"/>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15:restartNumberingAfterBreak="0">
    <w:nsid w:val="11FB0C62"/>
    <w:multiLevelType w:val="hybridMultilevel"/>
    <w:tmpl w:val="BAEC9E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8615DB4"/>
    <w:multiLevelType w:val="hybridMultilevel"/>
    <w:tmpl w:val="132CE7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A757B6B"/>
    <w:multiLevelType w:val="hybridMultilevel"/>
    <w:tmpl w:val="F62EDA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2DD6733"/>
    <w:multiLevelType w:val="hybridMultilevel"/>
    <w:tmpl w:val="BE069A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77806EF"/>
    <w:multiLevelType w:val="hybridMultilevel"/>
    <w:tmpl w:val="58123C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3E66C94"/>
    <w:multiLevelType w:val="hybridMultilevel"/>
    <w:tmpl w:val="EB20D8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4626889"/>
    <w:multiLevelType w:val="hybridMultilevel"/>
    <w:tmpl w:val="91B41D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3656B9F"/>
    <w:multiLevelType w:val="hybridMultilevel"/>
    <w:tmpl w:val="F10A95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39474F2"/>
    <w:multiLevelType w:val="hybridMultilevel"/>
    <w:tmpl w:val="3F60BB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A9D6CD"/>
    <w:multiLevelType w:val="hybridMultilevel"/>
    <w:tmpl w:val="9BA47F24"/>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0BF3064"/>
    <w:multiLevelType w:val="hybridMultilevel"/>
    <w:tmpl w:val="BE74F7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33454F5"/>
    <w:multiLevelType w:val="hybridMultilevel"/>
    <w:tmpl w:val="F93617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54C44ED"/>
    <w:multiLevelType w:val="hybridMultilevel"/>
    <w:tmpl w:val="DE5AC0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5516374"/>
    <w:multiLevelType w:val="hybridMultilevel"/>
    <w:tmpl w:val="E23A60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9807DEF"/>
    <w:multiLevelType w:val="hybridMultilevel"/>
    <w:tmpl w:val="7D28FC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7"/>
  </w:num>
  <w:num w:numId="4">
    <w:abstractNumId w:val="16"/>
  </w:num>
  <w:num w:numId="5">
    <w:abstractNumId w:val="8"/>
  </w:num>
  <w:num w:numId="6">
    <w:abstractNumId w:val="12"/>
  </w:num>
  <w:num w:numId="7">
    <w:abstractNumId w:val="18"/>
  </w:num>
  <w:num w:numId="8">
    <w:abstractNumId w:val="14"/>
  </w:num>
  <w:num w:numId="9">
    <w:abstractNumId w:val="19"/>
  </w:num>
  <w:num w:numId="10">
    <w:abstractNumId w:val="13"/>
  </w:num>
  <w:num w:numId="11">
    <w:abstractNumId w:val="6"/>
  </w:num>
  <w:num w:numId="12">
    <w:abstractNumId w:val="7"/>
  </w:num>
  <w:num w:numId="13">
    <w:abstractNumId w:val="20"/>
  </w:num>
  <w:num w:numId="14">
    <w:abstractNumId w:val="11"/>
  </w:num>
  <w:num w:numId="15">
    <w:abstractNumId w:val="9"/>
  </w:num>
  <w:num w:numId="16">
    <w:abstractNumId w:val="10"/>
  </w:num>
  <w:num w:numId="17">
    <w:abstractNumId w:val="0"/>
  </w:num>
  <w:num w:numId="18">
    <w:abstractNumId w:val="15"/>
  </w:num>
  <w:num w:numId="19">
    <w:abstractNumId w:val="2"/>
  </w:num>
  <w:num w:numId="20">
    <w:abstractNumId w:val="3"/>
  </w:num>
  <w:num w:numId="21">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attachedTemplate r:id="rId1"/>
  <w:defaultTabStop w:val="709"/>
  <w:hyphenationZone w:val="425"/>
  <w:defaultTableStyle w:val="Standard"/>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B13"/>
    <w:rsid w:val="000039C8"/>
    <w:rsid w:val="00004C75"/>
    <w:rsid w:val="00006A6B"/>
    <w:rsid w:val="00013ED5"/>
    <w:rsid w:val="000145BC"/>
    <w:rsid w:val="00016626"/>
    <w:rsid w:val="000226D6"/>
    <w:rsid w:val="00026120"/>
    <w:rsid w:val="00027EFB"/>
    <w:rsid w:val="00036380"/>
    <w:rsid w:val="00036520"/>
    <w:rsid w:val="00045418"/>
    <w:rsid w:val="000625E0"/>
    <w:rsid w:val="00064FDA"/>
    <w:rsid w:val="000651C7"/>
    <w:rsid w:val="000761B4"/>
    <w:rsid w:val="0008226E"/>
    <w:rsid w:val="00085B0B"/>
    <w:rsid w:val="000A2C79"/>
    <w:rsid w:val="000A2ED0"/>
    <w:rsid w:val="000A36CF"/>
    <w:rsid w:val="000A5F65"/>
    <w:rsid w:val="000D115C"/>
    <w:rsid w:val="000D56F3"/>
    <w:rsid w:val="000E76B5"/>
    <w:rsid w:val="000F3A5E"/>
    <w:rsid w:val="0010320B"/>
    <w:rsid w:val="00104EDD"/>
    <w:rsid w:val="00105365"/>
    <w:rsid w:val="001131B9"/>
    <w:rsid w:val="001152F5"/>
    <w:rsid w:val="00116311"/>
    <w:rsid w:val="00116E0F"/>
    <w:rsid w:val="00124640"/>
    <w:rsid w:val="00130297"/>
    <w:rsid w:val="0013033F"/>
    <w:rsid w:val="00131FFE"/>
    <w:rsid w:val="001348E3"/>
    <w:rsid w:val="00141605"/>
    <w:rsid w:val="001524BB"/>
    <w:rsid w:val="0015274F"/>
    <w:rsid w:val="001558D0"/>
    <w:rsid w:val="001578ED"/>
    <w:rsid w:val="001579FC"/>
    <w:rsid w:val="001644C5"/>
    <w:rsid w:val="00164D07"/>
    <w:rsid w:val="00181D37"/>
    <w:rsid w:val="00187459"/>
    <w:rsid w:val="00192139"/>
    <w:rsid w:val="001A065F"/>
    <w:rsid w:val="001B24CE"/>
    <w:rsid w:val="001B373E"/>
    <w:rsid w:val="001B376D"/>
    <w:rsid w:val="001B4F02"/>
    <w:rsid w:val="001C10A3"/>
    <w:rsid w:val="001C2588"/>
    <w:rsid w:val="001C4764"/>
    <w:rsid w:val="001C670A"/>
    <w:rsid w:val="001C7BDB"/>
    <w:rsid w:val="001D0DF0"/>
    <w:rsid w:val="001D2FF7"/>
    <w:rsid w:val="001D55B4"/>
    <w:rsid w:val="001D6F41"/>
    <w:rsid w:val="001E0F2B"/>
    <w:rsid w:val="001E13B3"/>
    <w:rsid w:val="001E4770"/>
    <w:rsid w:val="001E790E"/>
    <w:rsid w:val="001F08B2"/>
    <w:rsid w:val="001F3C3F"/>
    <w:rsid w:val="001F6D0F"/>
    <w:rsid w:val="001F724F"/>
    <w:rsid w:val="00200E6B"/>
    <w:rsid w:val="0020295F"/>
    <w:rsid w:val="00210B95"/>
    <w:rsid w:val="00211389"/>
    <w:rsid w:val="0021346C"/>
    <w:rsid w:val="00214A89"/>
    <w:rsid w:val="00215228"/>
    <w:rsid w:val="00217B86"/>
    <w:rsid w:val="00220753"/>
    <w:rsid w:val="00223ACF"/>
    <w:rsid w:val="00227B0D"/>
    <w:rsid w:val="002319C5"/>
    <w:rsid w:val="0023492F"/>
    <w:rsid w:val="00236704"/>
    <w:rsid w:val="00240FE0"/>
    <w:rsid w:val="00257D87"/>
    <w:rsid w:val="002632D3"/>
    <w:rsid w:val="00263578"/>
    <w:rsid w:val="002666D7"/>
    <w:rsid w:val="002741EF"/>
    <w:rsid w:val="00274ACD"/>
    <w:rsid w:val="0028692C"/>
    <w:rsid w:val="00286A22"/>
    <w:rsid w:val="00290BAF"/>
    <w:rsid w:val="00294AA6"/>
    <w:rsid w:val="00295920"/>
    <w:rsid w:val="002A089F"/>
    <w:rsid w:val="002A5684"/>
    <w:rsid w:val="002B35D1"/>
    <w:rsid w:val="002B3D5E"/>
    <w:rsid w:val="002B4882"/>
    <w:rsid w:val="002B642F"/>
    <w:rsid w:val="002C367A"/>
    <w:rsid w:val="002C698C"/>
    <w:rsid w:val="002D181B"/>
    <w:rsid w:val="002D2F8E"/>
    <w:rsid w:val="002D3B10"/>
    <w:rsid w:val="002F0081"/>
    <w:rsid w:val="002F53A1"/>
    <w:rsid w:val="002F564D"/>
    <w:rsid w:val="002F5E0F"/>
    <w:rsid w:val="002F7B13"/>
    <w:rsid w:val="00300C4E"/>
    <w:rsid w:val="003033E3"/>
    <w:rsid w:val="0030622B"/>
    <w:rsid w:val="00312237"/>
    <w:rsid w:val="00314DEB"/>
    <w:rsid w:val="003222E4"/>
    <w:rsid w:val="00327D84"/>
    <w:rsid w:val="00330609"/>
    <w:rsid w:val="00334920"/>
    <w:rsid w:val="003367DF"/>
    <w:rsid w:val="00337370"/>
    <w:rsid w:val="00343DEB"/>
    <w:rsid w:val="00344CBC"/>
    <w:rsid w:val="003451CC"/>
    <w:rsid w:val="00361E48"/>
    <w:rsid w:val="003754B8"/>
    <w:rsid w:val="00381362"/>
    <w:rsid w:val="003832F9"/>
    <w:rsid w:val="00384777"/>
    <w:rsid w:val="00385DD1"/>
    <w:rsid w:val="00387087"/>
    <w:rsid w:val="003A369C"/>
    <w:rsid w:val="003A6FA7"/>
    <w:rsid w:val="003B06B4"/>
    <w:rsid w:val="003B2650"/>
    <w:rsid w:val="003C5A27"/>
    <w:rsid w:val="003D25D4"/>
    <w:rsid w:val="003D312A"/>
    <w:rsid w:val="003D4696"/>
    <w:rsid w:val="003D7BEC"/>
    <w:rsid w:val="003F1A4D"/>
    <w:rsid w:val="00403110"/>
    <w:rsid w:val="004055DA"/>
    <w:rsid w:val="0040761C"/>
    <w:rsid w:val="004102E6"/>
    <w:rsid w:val="00415667"/>
    <w:rsid w:val="00422978"/>
    <w:rsid w:val="0042763F"/>
    <w:rsid w:val="00431ED1"/>
    <w:rsid w:val="00434008"/>
    <w:rsid w:val="00435526"/>
    <w:rsid w:val="004376F8"/>
    <w:rsid w:val="0044512D"/>
    <w:rsid w:val="004468E2"/>
    <w:rsid w:val="00454DD5"/>
    <w:rsid w:val="0045627C"/>
    <w:rsid w:val="004562E8"/>
    <w:rsid w:val="0046700E"/>
    <w:rsid w:val="00467F24"/>
    <w:rsid w:val="004706AF"/>
    <w:rsid w:val="00477091"/>
    <w:rsid w:val="00481778"/>
    <w:rsid w:val="004819B1"/>
    <w:rsid w:val="0048427E"/>
    <w:rsid w:val="00486731"/>
    <w:rsid w:val="00490A47"/>
    <w:rsid w:val="00490A77"/>
    <w:rsid w:val="00492F1E"/>
    <w:rsid w:val="004938E5"/>
    <w:rsid w:val="00496367"/>
    <w:rsid w:val="004A0B28"/>
    <w:rsid w:val="004A2AC3"/>
    <w:rsid w:val="004A68BD"/>
    <w:rsid w:val="004B6E3D"/>
    <w:rsid w:val="004C12C0"/>
    <w:rsid w:val="004C46C7"/>
    <w:rsid w:val="004C59AA"/>
    <w:rsid w:val="004C7642"/>
    <w:rsid w:val="004D2DAF"/>
    <w:rsid w:val="004D2EE3"/>
    <w:rsid w:val="004D4AEF"/>
    <w:rsid w:val="004D6C8C"/>
    <w:rsid w:val="004E00E8"/>
    <w:rsid w:val="004E10E6"/>
    <w:rsid w:val="004E7DDF"/>
    <w:rsid w:val="004F3B46"/>
    <w:rsid w:val="004F3F24"/>
    <w:rsid w:val="004F6F41"/>
    <w:rsid w:val="004F79C0"/>
    <w:rsid w:val="00503BC1"/>
    <w:rsid w:val="005055E6"/>
    <w:rsid w:val="005112C0"/>
    <w:rsid w:val="00512401"/>
    <w:rsid w:val="00514CEE"/>
    <w:rsid w:val="00515F86"/>
    <w:rsid w:val="0052181E"/>
    <w:rsid w:val="00524E71"/>
    <w:rsid w:val="00531AC9"/>
    <w:rsid w:val="00532E06"/>
    <w:rsid w:val="00533F16"/>
    <w:rsid w:val="00536E2C"/>
    <w:rsid w:val="00541591"/>
    <w:rsid w:val="00544E7B"/>
    <w:rsid w:val="0054540F"/>
    <w:rsid w:val="0054725B"/>
    <w:rsid w:val="005509D3"/>
    <w:rsid w:val="0055486B"/>
    <w:rsid w:val="00555AC4"/>
    <w:rsid w:val="00555D5F"/>
    <w:rsid w:val="00556B90"/>
    <w:rsid w:val="005573BC"/>
    <w:rsid w:val="00557DCF"/>
    <w:rsid w:val="0056560C"/>
    <w:rsid w:val="0056589D"/>
    <w:rsid w:val="005756B4"/>
    <w:rsid w:val="00581605"/>
    <w:rsid w:val="00586DF1"/>
    <w:rsid w:val="00587AEF"/>
    <w:rsid w:val="00590605"/>
    <w:rsid w:val="005916EA"/>
    <w:rsid w:val="00595D71"/>
    <w:rsid w:val="005A16BB"/>
    <w:rsid w:val="005A7421"/>
    <w:rsid w:val="005B0C5D"/>
    <w:rsid w:val="005B34A0"/>
    <w:rsid w:val="005B7F30"/>
    <w:rsid w:val="005C526D"/>
    <w:rsid w:val="005C697E"/>
    <w:rsid w:val="005C7409"/>
    <w:rsid w:val="005D471D"/>
    <w:rsid w:val="005E129B"/>
    <w:rsid w:val="005E5993"/>
    <w:rsid w:val="005F2838"/>
    <w:rsid w:val="005F470C"/>
    <w:rsid w:val="005F772C"/>
    <w:rsid w:val="005F7FE5"/>
    <w:rsid w:val="006007E8"/>
    <w:rsid w:val="00606B6C"/>
    <w:rsid w:val="00614419"/>
    <w:rsid w:val="00615EFE"/>
    <w:rsid w:val="00622FE4"/>
    <w:rsid w:val="00632610"/>
    <w:rsid w:val="00632B4E"/>
    <w:rsid w:val="006369EB"/>
    <w:rsid w:val="00643D7C"/>
    <w:rsid w:val="00646602"/>
    <w:rsid w:val="0065009B"/>
    <w:rsid w:val="00652482"/>
    <w:rsid w:val="006534DA"/>
    <w:rsid w:val="00657692"/>
    <w:rsid w:val="00657905"/>
    <w:rsid w:val="00665164"/>
    <w:rsid w:val="0066751A"/>
    <w:rsid w:val="00670534"/>
    <w:rsid w:val="0067123F"/>
    <w:rsid w:val="00674C26"/>
    <w:rsid w:val="006778EA"/>
    <w:rsid w:val="006817D8"/>
    <w:rsid w:val="00691E3B"/>
    <w:rsid w:val="006920D2"/>
    <w:rsid w:val="0069326E"/>
    <w:rsid w:val="006A1EB7"/>
    <w:rsid w:val="006A2244"/>
    <w:rsid w:val="006A5C3A"/>
    <w:rsid w:val="006B71DF"/>
    <w:rsid w:val="006C4598"/>
    <w:rsid w:val="006C47E6"/>
    <w:rsid w:val="006C759E"/>
    <w:rsid w:val="006D0A35"/>
    <w:rsid w:val="006D0ABD"/>
    <w:rsid w:val="006D7273"/>
    <w:rsid w:val="006E40ED"/>
    <w:rsid w:val="006E5BEC"/>
    <w:rsid w:val="006F061D"/>
    <w:rsid w:val="006F52E2"/>
    <w:rsid w:val="00706441"/>
    <w:rsid w:val="00712875"/>
    <w:rsid w:val="00715970"/>
    <w:rsid w:val="007166B3"/>
    <w:rsid w:val="00724134"/>
    <w:rsid w:val="007331A1"/>
    <w:rsid w:val="00734295"/>
    <w:rsid w:val="007373B2"/>
    <w:rsid w:val="007403D1"/>
    <w:rsid w:val="0074189B"/>
    <w:rsid w:val="007460D7"/>
    <w:rsid w:val="00747818"/>
    <w:rsid w:val="00751E97"/>
    <w:rsid w:val="00755B5D"/>
    <w:rsid w:val="00760CC1"/>
    <w:rsid w:val="00762646"/>
    <w:rsid w:val="007652D9"/>
    <w:rsid w:val="00781DD6"/>
    <w:rsid w:val="00787210"/>
    <w:rsid w:val="007A42E6"/>
    <w:rsid w:val="007A6726"/>
    <w:rsid w:val="007B0898"/>
    <w:rsid w:val="007B27E5"/>
    <w:rsid w:val="007B4FE5"/>
    <w:rsid w:val="007B61D6"/>
    <w:rsid w:val="007B7CC1"/>
    <w:rsid w:val="007C271D"/>
    <w:rsid w:val="007C2C3C"/>
    <w:rsid w:val="007C70CB"/>
    <w:rsid w:val="007D29E9"/>
    <w:rsid w:val="007D64B9"/>
    <w:rsid w:val="007D6FF2"/>
    <w:rsid w:val="007E1B4C"/>
    <w:rsid w:val="007E617B"/>
    <w:rsid w:val="007F0158"/>
    <w:rsid w:val="007F1CE3"/>
    <w:rsid w:val="007F3DBC"/>
    <w:rsid w:val="007F472C"/>
    <w:rsid w:val="007F5A0D"/>
    <w:rsid w:val="008013EB"/>
    <w:rsid w:val="00803D5F"/>
    <w:rsid w:val="00810FFC"/>
    <w:rsid w:val="0081100C"/>
    <w:rsid w:val="008118C0"/>
    <w:rsid w:val="008200DD"/>
    <w:rsid w:val="00823853"/>
    <w:rsid w:val="008253AA"/>
    <w:rsid w:val="0083457F"/>
    <w:rsid w:val="00845492"/>
    <w:rsid w:val="008508EA"/>
    <w:rsid w:val="008514A0"/>
    <w:rsid w:val="00852AC4"/>
    <w:rsid w:val="00852CCF"/>
    <w:rsid w:val="00860C0C"/>
    <w:rsid w:val="008717AA"/>
    <w:rsid w:val="008801A1"/>
    <w:rsid w:val="00880E87"/>
    <w:rsid w:val="008817F4"/>
    <w:rsid w:val="008844BF"/>
    <w:rsid w:val="00886E57"/>
    <w:rsid w:val="008948F7"/>
    <w:rsid w:val="00896193"/>
    <w:rsid w:val="0089625E"/>
    <w:rsid w:val="008A1C8F"/>
    <w:rsid w:val="008A35DB"/>
    <w:rsid w:val="008A4C19"/>
    <w:rsid w:val="008A6054"/>
    <w:rsid w:val="008A7F5C"/>
    <w:rsid w:val="008B0E37"/>
    <w:rsid w:val="008B1A63"/>
    <w:rsid w:val="008B56B1"/>
    <w:rsid w:val="008B7251"/>
    <w:rsid w:val="008C04F6"/>
    <w:rsid w:val="008C0754"/>
    <w:rsid w:val="008C5565"/>
    <w:rsid w:val="008C7BBE"/>
    <w:rsid w:val="008D28C6"/>
    <w:rsid w:val="008D36AF"/>
    <w:rsid w:val="008D62C6"/>
    <w:rsid w:val="008D7896"/>
    <w:rsid w:val="008E0C48"/>
    <w:rsid w:val="008E326C"/>
    <w:rsid w:val="008F161D"/>
    <w:rsid w:val="008F2BD5"/>
    <w:rsid w:val="008F4ABE"/>
    <w:rsid w:val="00907A33"/>
    <w:rsid w:val="00910B9D"/>
    <w:rsid w:val="00913895"/>
    <w:rsid w:val="0091785A"/>
    <w:rsid w:val="00920C95"/>
    <w:rsid w:val="009211C2"/>
    <w:rsid w:val="009232F7"/>
    <w:rsid w:val="00931959"/>
    <w:rsid w:val="0093307C"/>
    <w:rsid w:val="00936A71"/>
    <w:rsid w:val="00936DBF"/>
    <w:rsid w:val="00937470"/>
    <w:rsid w:val="0094173C"/>
    <w:rsid w:val="009443E6"/>
    <w:rsid w:val="00946417"/>
    <w:rsid w:val="00947DB0"/>
    <w:rsid w:val="009513AD"/>
    <w:rsid w:val="00956FFC"/>
    <w:rsid w:val="009604EE"/>
    <w:rsid w:val="00966E75"/>
    <w:rsid w:val="00974830"/>
    <w:rsid w:val="00983D1B"/>
    <w:rsid w:val="009840D3"/>
    <w:rsid w:val="009919AF"/>
    <w:rsid w:val="009A068B"/>
    <w:rsid w:val="009A2E9E"/>
    <w:rsid w:val="009A3D58"/>
    <w:rsid w:val="009A5E58"/>
    <w:rsid w:val="009A623D"/>
    <w:rsid w:val="009A6B48"/>
    <w:rsid w:val="009B0A0B"/>
    <w:rsid w:val="009B4B9F"/>
    <w:rsid w:val="009B6FAC"/>
    <w:rsid w:val="009C0C67"/>
    <w:rsid w:val="009C5A02"/>
    <w:rsid w:val="009D277F"/>
    <w:rsid w:val="009D5380"/>
    <w:rsid w:val="009D639D"/>
    <w:rsid w:val="009D704A"/>
    <w:rsid w:val="009E5DA0"/>
    <w:rsid w:val="009F052F"/>
    <w:rsid w:val="009F47D6"/>
    <w:rsid w:val="00A12A4E"/>
    <w:rsid w:val="00A13250"/>
    <w:rsid w:val="00A139C8"/>
    <w:rsid w:val="00A13DFE"/>
    <w:rsid w:val="00A17C2C"/>
    <w:rsid w:val="00A21A32"/>
    <w:rsid w:val="00A26360"/>
    <w:rsid w:val="00A2684A"/>
    <w:rsid w:val="00A26CC5"/>
    <w:rsid w:val="00A32631"/>
    <w:rsid w:val="00A32CE7"/>
    <w:rsid w:val="00A33954"/>
    <w:rsid w:val="00A42FE1"/>
    <w:rsid w:val="00A45575"/>
    <w:rsid w:val="00A50B7C"/>
    <w:rsid w:val="00A5224D"/>
    <w:rsid w:val="00A5742A"/>
    <w:rsid w:val="00A57C31"/>
    <w:rsid w:val="00A61C5A"/>
    <w:rsid w:val="00A63C93"/>
    <w:rsid w:val="00A6480E"/>
    <w:rsid w:val="00A6593E"/>
    <w:rsid w:val="00A67614"/>
    <w:rsid w:val="00A72927"/>
    <w:rsid w:val="00A73480"/>
    <w:rsid w:val="00A7710B"/>
    <w:rsid w:val="00A774D0"/>
    <w:rsid w:val="00A84B41"/>
    <w:rsid w:val="00A85154"/>
    <w:rsid w:val="00A87CA4"/>
    <w:rsid w:val="00A93B08"/>
    <w:rsid w:val="00AA067A"/>
    <w:rsid w:val="00AA17BD"/>
    <w:rsid w:val="00AA19D0"/>
    <w:rsid w:val="00AA22E3"/>
    <w:rsid w:val="00AA6221"/>
    <w:rsid w:val="00AA7717"/>
    <w:rsid w:val="00AB056A"/>
    <w:rsid w:val="00AB1CED"/>
    <w:rsid w:val="00AB39C7"/>
    <w:rsid w:val="00AB5D16"/>
    <w:rsid w:val="00AB76EB"/>
    <w:rsid w:val="00AC0EB5"/>
    <w:rsid w:val="00AC2287"/>
    <w:rsid w:val="00AC3ACB"/>
    <w:rsid w:val="00AC4198"/>
    <w:rsid w:val="00AC503A"/>
    <w:rsid w:val="00AD39BF"/>
    <w:rsid w:val="00AD4309"/>
    <w:rsid w:val="00AD6BCF"/>
    <w:rsid w:val="00AD7130"/>
    <w:rsid w:val="00AE2AB5"/>
    <w:rsid w:val="00AE39FF"/>
    <w:rsid w:val="00AE6A3D"/>
    <w:rsid w:val="00AF0689"/>
    <w:rsid w:val="00AF501C"/>
    <w:rsid w:val="00AF5946"/>
    <w:rsid w:val="00AF5B82"/>
    <w:rsid w:val="00AF6AD6"/>
    <w:rsid w:val="00AF7C0A"/>
    <w:rsid w:val="00AF7DEF"/>
    <w:rsid w:val="00B01DED"/>
    <w:rsid w:val="00B02CD6"/>
    <w:rsid w:val="00B030AF"/>
    <w:rsid w:val="00B0542A"/>
    <w:rsid w:val="00B06A78"/>
    <w:rsid w:val="00B07492"/>
    <w:rsid w:val="00B117DB"/>
    <w:rsid w:val="00B13F46"/>
    <w:rsid w:val="00B14E31"/>
    <w:rsid w:val="00B22860"/>
    <w:rsid w:val="00B24E05"/>
    <w:rsid w:val="00B3009B"/>
    <w:rsid w:val="00B31B75"/>
    <w:rsid w:val="00B3248D"/>
    <w:rsid w:val="00B33B5E"/>
    <w:rsid w:val="00B343BA"/>
    <w:rsid w:val="00B3550C"/>
    <w:rsid w:val="00B41FE8"/>
    <w:rsid w:val="00B61353"/>
    <w:rsid w:val="00B642C1"/>
    <w:rsid w:val="00B748B6"/>
    <w:rsid w:val="00B764C6"/>
    <w:rsid w:val="00B80263"/>
    <w:rsid w:val="00B86561"/>
    <w:rsid w:val="00B92A18"/>
    <w:rsid w:val="00B95187"/>
    <w:rsid w:val="00B967A4"/>
    <w:rsid w:val="00BA10FA"/>
    <w:rsid w:val="00BA19D2"/>
    <w:rsid w:val="00BA4B40"/>
    <w:rsid w:val="00BA6DD0"/>
    <w:rsid w:val="00BB7F1E"/>
    <w:rsid w:val="00BC67C1"/>
    <w:rsid w:val="00BC69BB"/>
    <w:rsid w:val="00BD6ACD"/>
    <w:rsid w:val="00BD6D92"/>
    <w:rsid w:val="00BE340F"/>
    <w:rsid w:val="00BF5616"/>
    <w:rsid w:val="00BF7A89"/>
    <w:rsid w:val="00C000E5"/>
    <w:rsid w:val="00C067AD"/>
    <w:rsid w:val="00C10DA7"/>
    <w:rsid w:val="00C12E40"/>
    <w:rsid w:val="00C17E36"/>
    <w:rsid w:val="00C214F1"/>
    <w:rsid w:val="00C25AFC"/>
    <w:rsid w:val="00C31A5C"/>
    <w:rsid w:val="00C320EC"/>
    <w:rsid w:val="00C32C23"/>
    <w:rsid w:val="00C37AC7"/>
    <w:rsid w:val="00C424D3"/>
    <w:rsid w:val="00C514F1"/>
    <w:rsid w:val="00C51884"/>
    <w:rsid w:val="00C522AB"/>
    <w:rsid w:val="00C5237C"/>
    <w:rsid w:val="00C533A4"/>
    <w:rsid w:val="00C550F1"/>
    <w:rsid w:val="00C5761B"/>
    <w:rsid w:val="00C65153"/>
    <w:rsid w:val="00C65195"/>
    <w:rsid w:val="00C7360E"/>
    <w:rsid w:val="00C75C62"/>
    <w:rsid w:val="00C83927"/>
    <w:rsid w:val="00C861FD"/>
    <w:rsid w:val="00C93574"/>
    <w:rsid w:val="00C949F6"/>
    <w:rsid w:val="00C961C7"/>
    <w:rsid w:val="00CA20D7"/>
    <w:rsid w:val="00CA5815"/>
    <w:rsid w:val="00CB78E8"/>
    <w:rsid w:val="00CC11C6"/>
    <w:rsid w:val="00CC3F94"/>
    <w:rsid w:val="00CD0CDE"/>
    <w:rsid w:val="00CD4514"/>
    <w:rsid w:val="00CD4BCB"/>
    <w:rsid w:val="00CD7A11"/>
    <w:rsid w:val="00CE0D58"/>
    <w:rsid w:val="00CE547F"/>
    <w:rsid w:val="00CF2300"/>
    <w:rsid w:val="00CF3D5D"/>
    <w:rsid w:val="00D016D4"/>
    <w:rsid w:val="00D1390E"/>
    <w:rsid w:val="00D2729C"/>
    <w:rsid w:val="00D316DF"/>
    <w:rsid w:val="00D33304"/>
    <w:rsid w:val="00D40429"/>
    <w:rsid w:val="00D43879"/>
    <w:rsid w:val="00D463D0"/>
    <w:rsid w:val="00D46D50"/>
    <w:rsid w:val="00D50011"/>
    <w:rsid w:val="00D51EE8"/>
    <w:rsid w:val="00D54405"/>
    <w:rsid w:val="00D56AF0"/>
    <w:rsid w:val="00D56E5D"/>
    <w:rsid w:val="00D57024"/>
    <w:rsid w:val="00D575FE"/>
    <w:rsid w:val="00D653DA"/>
    <w:rsid w:val="00D70A22"/>
    <w:rsid w:val="00D7537A"/>
    <w:rsid w:val="00D759E5"/>
    <w:rsid w:val="00D76822"/>
    <w:rsid w:val="00D81068"/>
    <w:rsid w:val="00D826D8"/>
    <w:rsid w:val="00D83615"/>
    <w:rsid w:val="00D85BB9"/>
    <w:rsid w:val="00D85F81"/>
    <w:rsid w:val="00D87317"/>
    <w:rsid w:val="00D96F09"/>
    <w:rsid w:val="00D9735C"/>
    <w:rsid w:val="00DA3133"/>
    <w:rsid w:val="00DA726D"/>
    <w:rsid w:val="00DA7871"/>
    <w:rsid w:val="00DB3A2F"/>
    <w:rsid w:val="00DB4C48"/>
    <w:rsid w:val="00DB7101"/>
    <w:rsid w:val="00DC2738"/>
    <w:rsid w:val="00DD087E"/>
    <w:rsid w:val="00DD1030"/>
    <w:rsid w:val="00DD142E"/>
    <w:rsid w:val="00DD1CD4"/>
    <w:rsid w:val="00DD3019"/>
    <w:rsid w:val="00DD6727"/>
    <w:rsid w:val="00DE2DE6"/>
    <w:rsid w:val="00DF7BBC"/>
    <w:rsid w:val="00E015DE"/>
    <w:rsid w:val="00E021F9"/>
    <w:rsid w:val="00E070CA"/>
    <w:rsid w:val="00E105FB"/>
    <w:rsid w:val="00E10A85"/>
    <w:rsid w:val="00E12CAB"/>
    <w:rsid w:val="00E2009A"/>
    <w:rsid w:val="00E2575C"/>
    <w:rsid w:val="00E257AC"/>
    <w:rsid w:val="00E2584D"/>
    <w:rsid w:val="00E42FD0"/>
    <w:rsid w:val="00E4601B"/>
    <w:rsid w:val="00E50812"/>
    <w:rsid w:val="00E55E7E"/>
    <w:rsid w:val="00E57F1D"/>
    <w:rsid w:val="00E617A1"/>
    <w:rsid w:val="00E634E7"/>
    <w:rsid w:val="00E66386"/>
    <w:rsid w:val="00E70B13"/>
    <w:rsid w:val="00E7171E"/>
    <w:rsid w:val="00E75D90"/>
    <w:rsid w:val="00E81623"/>
    <w:rsid w:val="00E95B2A"/>
    <w:rsid w:val="00EA361B"/>
    <w:rsid w:val="00EA5824"/>
    <w:rsid w:val="00EB5594"/>
    <w:rsid w:val="00EC1114"/>
    <w:rsid w:val="00EC1711"/>
    <w:rsid w:val="00EC1E7C"/>
    <w:rsid w:val="00EC342D"/>
    <w:rsid w:val="00EC5AD9"/>
    <w:rsid w:val="00ED1476"/>
    <w:rsid w:val="00ED65AF"/>
    <w:rsid w:val="00EE0598"/>
    <w:rsid w:val="00EE0EE4"/>
    <w:rsid w:val="00EF090F"/>
    <w:rsid w:val="00EF1BD8"/>
    <w:rsid w:val="00EF5A00"/>
    <w:rsid w:val="00EF66BE"/>
    <w:rsid w:val="00F0379C"/>
    <w:rsid w:val="00F06155"/>
    <w:rsid w:val="00F10AB0"/>
    <w:rsid w:val="00F129B5"/>
    <w:rsid w:val="00F168F9"/>
    <w:rsid w:val="00F275BA"/>
    <w:rsid w:val="00F37B4E"/>
    <w:rsid w:val="00F429F9"/>
    <w:rsid w:val="00F51F6B"/>
    <w:rsid w:val="00F526BF"/>
    <w:rsid w:val="00F607C7"/>
    <w:rsid w:val="00F60E46"/>
    <w:rsid w:val="00F67CE3"/>
    <w:rsid w:val="00F71C05"/>
    <w:rsid w:val="00F72177"/>
    <w:rsid w:val="00F73AF8"/>
    <w:rsid w:val="00F74FC2"/>
    <w:rsid w:val="00F81823"/>
    <w:rsid w:val="00F8285F"/>
    <w:rsid w:val="00F835FF"/>
    <w:rsid w:val="00F85A13"/>
    <w:rsid w:val="00F85B2F"/>
    <w:rsid w:val="00F90D95"/>
    <w:rsid w:val="00F91D14"/>
    <w:rsid w:val="00FA0C42"/>
    <w:rsid w:val="00FA4E8E"/>
    <w:rsid w:val="00FB4132"/>
    <w:rsid w:val="00FB5BDE"/>
    <w:rsid w:val="00FB611B"/>
    <w:rsid w:val="00FB79C4"/>
    <w:rsid w:val="00FC159E"/>
    <w:rsid w:val="00FC3916"/>
    <w:rsid w:val="00FC6552"/>
    <w:rsid w:val="00FD31A0"/>
    <w:rsid w:val="00FD40CC"/>
    <w:rsid w:val="00FD6C04"/>
    <w:rsid w:val="00FE2DC9"/>
    <w:rsid w:val="00FF59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F6F224B"/>
  <w15:chartTrackingRefBased/>
  <w15:docId w15:val="{76B014C7-3F87-4E05-BE08-99DA34E4E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atentStyles>
  <w:style w:type="paragraph" w:default="1" w:styleId="Standard">
    <w:name w:val="Normal"/>
    <w:qFormat/>
    <w:pPr>
      <w:suppressAutoHyphens/>
      <w:jc w:val="both"/>
    </w:pPr>
    <w:rPr>
      <w:rFonts w:ascii="Arial" w:hAnsi="Arial" w:cs="Arial"/>
      <w:kern w:val="1"/>
      <w:sz w:val="24"/>
      <w:szCs w:val="24"/>
      <w:lang w:eastAsia="zh-CN"/>
    </w:rPr>
  </w:style>
  <w:style w:type="paragraph" w:styleId="berschrift1">
    <w:name w:val="heading 1"/>
    <w:basedOn w:val="Standard"/>
    <w:next w:val="Standard"/>
    <w:qFormat/>
    <w:pPr>
      <w:keepNext/>
      <w:numPr>
        <w:numId w:val="1"/>
      </w:numPr>
      <w:outlineLvl w:val="0"/>
    </w:pPr>
    <w:rPr>
      <w:b/>
      <w:bCs/>
      <w:sz w:val="18"/>
      <w:szCs w:val="18"/>
    </w:rPr>
  </w:style>
  <w:style w:type="paragraph" w:styleId="berschrift2">
    <w:name w:val="heading 2"/>
    <w:basedOn w:val="Standard"/>
    <w:next w:val="Standard"/>
    <w:qFormat/>
    <w:pPr>
      <w:keepNext/>
      <w:numPr>
        <w:ilvl w:val="1"/>
        <w:numId w:val="1"/>
      </w:numPr>
      <w:jc w:val="left"/>
      <w:outlineLvl w:val="1"/>
    </w:pPr>
    <w:rPr>
      <w:b/>
      <w:bCs/>
      <w:color w:val="FFFFFF"/>
      <w:sz w:val="16"/>
      <w:szCs w:val="18"/>
    </w:rPr>
  </w:style>
  <w:style w:type="paragraph" w:styleId="berschrift3">
    <w:name w:val="heading 3"/>
    <w:basedOn w:val="Standard"/>
    <w:next w:val="Standard"/>
    <w:qFormat/>
    <w:pPr>
      <w:keepNext/>
      <w:numPr>
        <w:ilvl w:val="2"/>
        <w:numId w:val="1"/>
      </w:numPr>
      <w:spacing w:after="60"/>
      <w:jc w:val="left"/>
      <w:outlineLvl w:val="2"/>
    </w:pPr>
    <w:rPr>
      <w:b/>
      <w:bCs/>
      <w:sz w:val="22"/>
    </w:rPr>
  </w:style>
  <w:style w:type="paragraph" w:styleId="berschrift4">
    <w:name w:val="heading 4"/>
    <w:basedOn w:val="Standard"/>
    <w:next w:val="Standard"/>
    <w:qFormat/>
    <w:pPr>
      <w:keepNext/>
      <w:numPr>
        <w:ilvl w:val="3"/>
        <w:numId w:val="1"/>
      </w:numPr>
      <w:spacing w:before="240" w:after="60"/>
      <w:outlineLvl w:val="3"/>
    </w:pPr>
    <w:rPr>
      <w:b/>
      <w:bCs/>
      <w:sz w:val="28"/>
      <w:szCs w:val="28"/>
    </w:rPr>
  </w:style>
  <w:style w:type="paragraph" w:styleId="berschrift5">
    <w:name w:val="heading 5"/>
    <w:basedOn w:val="Standard"/>
    <w:next w:val="Standard"/>
    <w:qFormat/>
    <w:pPr>
      <w:keepNext/>
      <w:numPr>
        <w:numId w:val="2"/>
      </w:numPr>
      <w:jc w:val="center"/>
      <w:outlineLvl w:val="4"/>
    </w:pPr>
    <w:rPr>
      <w:rFonts w:cs="Times New Roman"/>
      <w:sz w:val="22"/>
      <w:szCs w:val="20"/>
      <w:u w:val="single"/>
    </w:rPr>
  </w:style>
  <w:style w:type="paragraph" w:styleId="berschrift6">
    <w:name w:val="heading 6"/>
    <w:basedOn w:val="Standard"/>
    <w:next w:val="Standard"/>
    <w:qFormat/>
    <w:pPr>
      <w:keepNext/>
      <w:tabs>
        <w:tab w:val="num" w:pos="0"/>
      </w:tabs>
      <w:ind w:left="432" w:hanging="432"/>
      <w:jc w:val="center"/>
      <w:outlineLvl w:val="5"/>
    </w:pPr>
    <w:rPr>
      <w:b/>
      <w:bCs/>
      <w:sz w:val="28"/>
    </w:rPr>
  </w:style>
  <w:style w:type="paragraph" w:styleId="berschrift7">
    <w:name w:val="heading 7"/>
    <w:basedOn w:val="Standard"/>
    <w:next w:val="Standard"/>
    <w:qFormat/>
    <w:pPr>
      <w:keepNext/>
      <w:tabs>
        <w:tab w:val="num" w:pos="0"/>
      </w:tabs>
      <w:ind w:left="432" w:hanging="432"/>
      <w:jc w:val="center"/>
      <w:outlineLvl w:val="6"/>
    </w:pPr>
    <w:rPr>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Absatz-Standardschriftart8">
    <w:name w:val="Absatz-Standardschriftart8"/>
  </w:style>
  <w:style w:type="character" w:styleId="Seitenzahl">
    <w:name w:val="page number"/>
    <w:basedOn w:val="Absatz-Standardschriftart8"/>
  </w:style>
  <w:style w:type="character" w:customStyle="1" w:styleId="Nummerierungszeichen">
    <w:name w:val="Nummerierungszeichen"/>
  </w:style>
  <w:style w:type="character" w:customStyle="1" w:styleId="Absatz-Standardschriftart2">
    <w:name w:val="Absatz-Standardschriftart2"/>
  </w:style>
  <w:style w:type="character" w:customStyle="1" w:styleId="Absatz-Standardschriftart1">
    <w:name w:val="Absatz-Standardschriftart1"/>
  </w:style>
  <w:style w:type="character" w:customStyle="1" w:styleId="Absatz-Standardschriftart5">
    <w:name w:val="Absatz-Standardschriftart5"/>
  </w:style>
  <w:style w:type="character" w:customStyle="1" w:styleId="Absatz-Standardschriftart4">
    <w:name w:val="Absatz-Standardschriftart4"/>
  </w:style>
  <w:style w:type="character" w:customStyle="1" w:styleId="Absatz-Standardschriftart3">
    <w:name w:val="Absatz-Standardschriftart3"/>
  </w:style>
  <w:style w:type="character" w:customStyle="1" w:styleId="WW-Absatz-Standardschriftart">
    <w:name w:val="WW-Absatz-Standardschriftart"/>
  </w:style>
  <w:style w:type="character" w:customStyle="1" w:styleId="Aufzhlungszeichen1">
    <w:name w:val="Aufzählungszeichen1"/>
    <w:rPr>
      <w:rFonts w:ascii="OpenSymbol" w:eastAsia="OpenSymbol" w:hAnsi="OpenSymbol" w:cs="OpenSymbol"/>
    </w:rPr>
  </w:style>
  <w:style w:type="character" w:customStyle="1" w:styleId="WW8Num13z8">
    <w:name w:val="WW8Num13z8"/>
  </w:style>
  <w:style w:type="character" w:customStyle="1" w:styleId="WW8Num13z7">
    <w:name w:val="WW8Num13z7"/>
  </w:style>
  <w:style w:type="character" w:customStyle="1" w:styleId="WW8Num13z6">
    <w:name w:val="WW8Num13z6"/>
  </w:style>
  <w:style w:type="character" w:customStyle="1" w:styleId="WW8Num13z5">
    <w:name w:val="WW8Num13z5"/>
  </w:style>
  <w:style w:type="character" w:customStyle="1" w:styleId="WW8Num13z4">
    <w:name w:val="WW8Num13z4"/>
  </w:style>
  <w:style w:type="character" w:customStyle="1" w:styleId="WW8Num13z3">
    <w:name w:val="WW8Num13z3"/>
  </w:style>
  <w:style w:type="character" w:customStyle="1" w:styleId="WW8Num19z2">
    <w:name w:val="WW8Num19z2"/>
    <w:rPr>
      <w:rFonts w:ascii="Wingdings" w:hAnsi="Wingdings" w:cs="Wingdings"/>
    </w:rPr>
  </w:style>
  <w:style w:type="character" w:customStyle="1" w:styleId="WW8Num19z1">
    <w:name w:val="WW8Num19z1"/>
    <w:rPr>
      <w:rFonts w:ascii="Courier New" w:hAnsi="Courier New" w:cs="Courier New"/>
    </w:rPr>
  </w:style>
  <w:style w:type="character" w:customStyle="1" w:styleId="WW8Num19z0">
    <w:name w:val="WW8Num19z0"/>
    <w:rPr>
      <w:rFonts w:ascii="Symbol" w:hAnsi="Symbol" w:cs="Symbol"/>
    </w:rPr>
  </w:style>
  <w:style w:type="character" w:customStyle="1" w:styleId="WW8Num18z8">
    <w:name w:val="WW8Num18z8"/>
  </w:style>
  <w:style w:type="character" w:customStyle="1" w:styleId="WW8Num18z7">
    <w:name w:val="WW8Num18z7"/>
  </w:style>
  <w:style w:type="character" w:customStyle="1" w:styleId="WW8Num18z6">
    <w:name w:val="WW8Num18z6"/>
  </w:style>
  <w:style w:type="character" w:customStyle="1" w:styleId="WW8Num18z5">
    <w:name w:val="WW8Num18z5"/>
  </w:style>
  <w:style w:type="character" w:customStyle="1" w:styleId="WW8Num18z4">
    <w:name w:val="WW8Num18z4"/>
  </w:style>
  <w:style w:type="character" w:customStyle="1" w:styleId="WW8Num18z3">
    <w:name w:val="WW8Num18z3"/>
  </w:style>
  <w:style w:type="character" w:customStyle="1" w:styleId="WW8Num16z8">
    <w:name w:val="WW8Num16z8"/>
  </w:style>
  <w:style w:type="character" w:customStyle="1" w:styleId="WW8Num16z7">
    <w:name w:val="WW8Num16z7"/>
  </w:style>
  <w:style w:type="character" w:customStyle="1" w:styleId="WW8Num16z6">
    <w:name w:val="WW8Num16z6"/>
  </w:style>
  <w:style w:type="character" w:customStyle="1" w:styleId="WW8Num16z5">
    <w:name w:val="WW8Num16z5"/>
  </w:style>
  <w:style w:type="character" w:customStyle="1" w:styleId="WW8Num16z4">
    <w:name w:val="WW8Num16z4"/>
  </w:style>
  <w:style w:type="character" w:customStyle="1" w:styleId="WW8Num16z3">
    <w:name w:val="WW8Num16z3"/>
  </w:style>
  <w:style w:type="character" w:customStyle="1" w:styleId="WW8Num14z8">
    <w:name w:val="WW8Num14z8"/>
  </w:style>
  <w:style w:type="character" w:customStyle="1" w:styleId="WW8Num14z7">
    <w:name w:val="WW8Num14z7"/>
  </w:style>
  <w:style w:type="character" w:customStyle="1" w:styleId="WW8Num14z6">
    <w:name w:val="WW8Num14z6"/>
  </w:style>
  <w:style w:type="character" w:customStyle="1" w:styleId="WW8Num14z5">
    <w:name w:val="WW8Num14z5"/>
  </w:style>
  <w:style w:type="character" w:customStyle="1" w:styleId="WW8Num14z4">
    <w:name w:val="WW8Num14z4"/>
  </w:style>
  <w:style w:type="character" w:customStyle="1" w:styleId="WW8Num14z3">
    <w:name w:val="WW8Num14z3"/>
  </w:style>
  <w:style w:type="character" w:customStyle="1" w:styleId="Absatz-Standardschriftart6">
    <w:name w:val="Absatz-Standardschriftart6"/>
  </w:style>
  <w:style w:type="character" w:customStyle="1" w:styleId="Absatz-Standardschriftart7">
    <w:name w:val="Absatz-Standardschriftart7"/>
  </w:style>
  <w:style w:type="character" w:customStyle="1" w:styleId="WW8Num10z8">
    <w:name w:val="WW8Num10z8"/>
  </w:style>
  <w:style w:type="character" w:customStyle="1" w:styleId="WW8Num10z7">
    <w:name w:val="WW8Num10z7"/>
  </w:style>
  <w:style w:type="character" w:customStyle="1" w:styleId="WW8Num10z6">
    <w:name w:val="WW8Num10z6"/>
  </w:style>
  <w:style w:type="character" w:customStyle="1" w:styleId="WW8Num10z5">
    <w:name w:val="WW8Num10z5"/>
  </w:style>
  <w:style w:type="character" w:customStyle="1" w:styleId="WW8Num10z4">
    <w:name w:val="WW8Num10z4"/>
  </w:style>
  <w:style w:type="character" w:customStyle="1" w:styleId="WW8Num10z3">
    <w:name w:val="WW8Num10z3"/>
  </w:style>
  <w:style w:type="character" w:customStyle="1" w:styleId="WW8Num11z8">
    <w:name w:val="WW8Num11z8"/>
  </w:style>
  <w:style w:type="character" w:customStyle="1" w:styleId="WW8Num11z7">
    <w:name w:val="WW8Num11z7"/>
  </w:style>
  <w:style w:type="character" w:customStyle="1" w:styleId="WW8Num11z6">
    <w:name w:val="WW8Num11z6"/>
  </w:style>
  <w:style w:type="character" w:customStyle="1" w:styleId="WW8Num11z5">
    <w:name w:val="WW8Num11z5"/>
  </w:style>
  <w:style w:type="character" w:customStyle="1" w:styleId="WW8Num11z4">
    <w:name w:val="WW8Num11z4"/>
  </w:style>
  <w:style w:type="character" w:customStyle="1" w:styleId="WW8Num11z3">
    <w:name w:val="WW8Num11z3"/>
  </w:style>
  <w:style w:type="character" w:customStyle="1" w:styleId="WW8Num7z2">
    <w:name w:val="WW8Num7z2"/>
    <w:rPr>
      <w:rFonts w:ascii="Wingdings" w:hAnsi="Wingdings" w:cs="Wingdings"/>
    </w:rPr>
  </w:style>
  <w:style w:type="character" w:customStyle="1" w:styleId="WW8Num7z1">
    <w:name w:val="WW8Num7z1"/>
    <w:rPr>
      <w:rFonts w:ascii="Courier New" w:hAnsi="Courier New" w:cs="Courier New"/>
    </w:rPr>
  </w:style>
  <w:style w:type="character" w:customStyle="1" w:styleId="WW8Num4z8">
    <w:name w:val="WW8Num4z8"/>
  </w:style>
  <w:style w:type="character" w:customStyle="1" w:styleId="WW8Num4z7">
    <w:name w:val="WW8Num4z7"/>
  </w:style>
  <w:style w:type="character" w:customStyle="1" w:styleId="WW8Num4z6">
    <w:name w:val="WW8Num4z6"/>
  </w:style>
  <w:style w:type="character" w:customStyle="1" w:styleId="WW8Num4z5">
    <w:name w:val="WW8Num4z5"/>
  </w:style>
  <w:style w:type="character" w:customStyle="1" w:styleId="WW8Num4z4">
    <w:name w:val="WW8Num4z4"/>
  </w:style>
  <w:style w:type="character" w:customStyle="1" w:styleId="WW8Num4z3">
    <w:name w:val="WW8Num4z3"/>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paragraph" w:customStyle="1" w:styleId="berschrift">
    <w:name w:val="Überschrift"/>
    <w:basedOn w:val="Standard"/>
    <w:next w:val="Textkrper"/>
    <w:pPr>
      <w:jc w:val="center"/>
    </w:pPr>
    <w:rPr>
      <w:sz w:val="28"/>
    </w:rPr>
  </w:style>
  <w:style w:type="paragraph" w:styleId="Textkrper">
    <w:name w:val="Body Text"/>
    <w:basedOn w:val="Standard"/>
    <w:pPr>
      <w:jc w:val="center"/>
    </w:pPr>
    <w:rPr>
      <w:b/>
      <w:bCs/>
      <w:sz w:val="18"/>
      <w:szCs w:val="18"/>
    </w:rPr>
  </w:style>
  <w:style w:type="paragraph" w:styleId="Liste">
    <w:name w:val="List"/>
    <w:basedOn w:val="Textkrper"/>
    <w:rPr>
      <w:rFonts w:cs="Mangal"/>
    </w:rPr>
  </w:style>
  <w:style w:type="paragraph" w:styleId="Beschriftung">
    <w:name w:val="caption"/>
    <w:basedOn w:val="Standard"/>
    <w:qFormat/>
    <w:pPr>
      <w:suppressLineNumbers/>
      <w:spacing w:before="120" w:after="120"/>
    </w:pPr>
    <w:rPr>
      <w:rFonts w:cs="Mangal"/>
      <w:i/>
      <w:iCs/>
    </w:rPr>
  </w:style>
  <w:style w:type="paragraph" w:customStyle="1" w:styleId="Verzeichnis">
    <w:name w:val="Verzeichnis"/>
    <w:basedOn w:val="Standard"/>
    <w:pPr>
      <w:suppressLineNumbers/>
    </w:pPr>
    <w:rPr>
      <w:rFonts w:cs="Mangal"/>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rPr>
      <w:rFonts w:ascii="Tahoma" w:hAnsi="Tahoma" w:cs="Tahoma"/>
      <w:sz w:val="16"/>
      <w:szCs w:val="16"/>
    </w:rPr>
  </w:style>
  <w:style w:type="paragraph" w:styleId="Textkrper-Zeileneinzug">
    <w:name w:val="Body Text Indent"/>
    <w:basedOn w:val="Standard"/>
    <w:pPr>
      <w:spacing w:before="120" w:after="120" w:line="360" w:lineRule="auto"/>
      <w:ind w:left="851"/>
    </w:pPr>
    <w:rPr>
      <w:b/>
      <w:bCs/>
      <w:color w:val="000000"/>
    </w:rPr>
  </w:style>
  <w:style w:type="paragraph" w:customStyle="1" w:styleId="Textkrper-Einzug22">
    <w:name w:val="Textkörper-Einzug 22"/>
    <w:basedOn w:val="Standard"/>
    <w:pPr>
      <w:ind w:left="360"/>
    </w:pPr>
    <w:rPr>
      <w:sz w:val="20"/>
    </w:rPr>
  </w:style>
  <w:style w:type="paragraph" w:customStyle="1" w:styleId="Textkrper22">
    <w:name w:val="Textkörper 22"/>
    <w:basedOn w:val="Standard"/>
    <w:rPr>
      <w:sz w:val="20"/>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Beschriftung2">
    <w:name w:val="Beschriftung2"/>
    <w:basedOn w:val="Standard"/>
    <w:pPr>
      <w:suppressLineNumbers/>
      <w:spacing w:before="120" w:after="120"/>
    </w:pPr>
    <w:rPr>
      <w:rFonts w:cs="Mangal"/>
      <w:i/>
      <w:iCs/>
    </w:rPr>
  </w:style>
  <w:style w:type="paragraph" w:customStyle="1" w:styleId="Beschriftung1">
    <w:name w:val="Beschriftung1"/>
    <w:basedOn w:val="Standard"/>
    <w:pPr>
      <w:suppressLineNumbers/>
      <w:spacing w:before="120" w:after="120"/>
    </w:pPr>
    <w:rPr>
      <w:rFonts w:cs="Mangal"/>
      <w:i/>
      <w:iCs/>
    </w:rPr>
  </w:style>
  <w:style w:type="paragraph" w:customStyle="1" w:styleId="Textkrper-Einzug21">
    <w:name w:val="Textkörper-Einzug 21"/>
    <w:basedOn w:val="Standard"/>
    <w:pPr>
      <w:ind w:left="360"/>
    </w:pPr>
    <w:rPr>
      <w:sz w:val="20"/>
    </w:rPr>
  </w:style>
  <w:style w:type="paragraph" w:customStyle="1" w:styleId="Textkrper21">
    <w:name w:val="Textkörper 21"/>
    <w:basedOn w:val="Standard"/>
    <w:rPr>
      <w:sz w:val="20"/>
    </w:rPr>
  </w:style>
  <w:style w:type="paragraph" w:customStyle="1" w:styleId="Beschriftung5">
    <w:name w:val="Beschriftung5"/>
    <w:basedOn w:val="Standard"/>
    <w:pPr>
      <w:suppressLineNumbers/>
      <w:spacing w:before="120" w:after="120"/>
    </w:pPr>
    <w:rPr>
      <w:rFonts w:cs="Mangal"/>
      <w:i/>
      <w:iCs/>
    </w:rPr>
  </w:style>
  <w:style w:type="paragraph" w:customStyle="1" w:styleId="Beschriftung4">
    <w:name w:val="Beschriftung4"/>
    <w:basedOn w:val="Standard"/>
    <w:pPr>
      <w:suppressLineNumbers/>
      <w:spacing w:before="120" w:after="120"/>
    </w:pPr>
    <w:rPr>
      <w:rFonts w:cs="Mangal"/>
      <w:i/>
      <w:iCs/>
    </w:rPr>
  </w:style>
  <w:style w:type="paragraph" w:customStyle="1" w:styleId="Beschriftung3">
    <w:name w:val="Beschriftung3"/>
    <w:basedOn w:val="Standard"/>
    <w:pPr>
      <w:suppressLineNumbers/>
      <w:spacing w:before="120" w:after="120"/>
    </w:pPr>
    <w:rPr>
      <w:rFonts w:cs="Mangal"/>
      <w:i/>
      <w:iCs/>
    </w:rPr>
  </w:style>
  <w:style w:type="paragraph" w:customStyle="1" w:styleId="Rahmeninhalt">
    <w:name w:val="Rahmeninhalt"/>
    <w:basedOn w:val="Textkrper"/>
  </w:style>
  <w:style w:type="paragraph" w:styleId="Untertitel">
    <w:name w:val="Subtitle"/>
    <w:basedOn w:val="berschrift"/>
    <w:next w:val="Textkrper"/>
    <w:qFormat/>
    <w:rPr>
      <w:i/>
      <w:iCs/>
      <w:szCs w:val="28"/>
    </w:rPr>
  </w:style>
  <w:style w:type="paragraph" w:styleId="Titel">
    <w:name w:val="Title"/>
    <w:basedOn w:val="Standard"/>
    <w:next w:val="Untertitel"/>
    <w:qFormat/>
    <w:pPr>
      <w:jc w:val="center"/>
    </w:pPr>
    <w:rPr>
      <w:sz w:val="28"/>
    </w:rPr>
  </w:style>
  <w:style w:type="table" w:styleId="Tabellenraster">
    <w:name w:val="Table Grid"/>
    <w:basedOn w:val="NormaleTabelle"/>
    <w:uiPriority w:val="39"/>
    <w:rsid w:val="009E5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644C5"/>
    <w:rPr>
      <w:color w:val="0000FF"/>
      <w:u w:val="single"/>
    </w:rPr>
  </w:style>
  <w:style w:type="paragraph" w:customStyle="1" w:styleId="MittleresRaster1-Akzent21">
    <w:name w:val="Mittleres Raster 1 - Akzent 21"/>
    <w:basedOn w:val="Standard"/>
    <w:uiPriority w:val="34"/>
    <w:qFormat/>
    <w:rsid w:val="001644C5"/>
    <w:pPr>
      <w:suppressAutoHyphens w:val="0"/>
      <w:spacing w:after="200" w:line="276" w:lineRule="auto"/>
      <w:ind w:left="720"/>
      <w:contextualSpacing/>
      <w:jc w:val="left"/>
    </w:pPr>
    <w:rPr>
      <w:rFonts w:ascii="Calibri" w:eastAsia="Calibri" w:hAnsi="Calibri" w:cs="Times New Roman"/>
      <w:kern w:val="0"/>
      <w:sz w:val="22"/>
      <w:szCs w:val="22"/>
      <w:lang w:eastAsia="en-US"/>
    </w:rPr>
  </w:style>
  <w:style w:type="character" w:styleId="BesuchterLink">
    <w:name w:val="FollowedHyperlink"/>
    <w:uiPriority w:val="99"/>
    <w:semiHidden/>
    <w:unhideWhenUsed/>
    <w:rsid w:val="001644C5"/>
    <w:rPr>
      <w:color w:val="800080"/>
      <w:u w:val="single"/>
    </w:rPr>
  </w:style>
  <w:style w:type="character" w:customStyle="1" w:styleId="NichtaufgelsteErwhnung1">
    <w:name w:val="Nicht aufgelöste Erwähnung1"/>
    <w:uiPriority w:val="99"/>
    <w:semiHidden/>
    <w:unhideWhenUsed/>
    <w:rsid w:val="008E0C48"/>
    <w:rPr>
      <w:color w:val="605E5C"/>
      <w:shd w:val="clear" w:color="auto" w:fill="E1DFDD"/>
    </w:rPr>
  </w:style>
  <w:style w:type="paragraph" w:customStyle="1" w:styleId="bodytext">
    <w:name w:val="bodytext"/>
    <w:basedOn w:val="Standard"/>
    <w:rsid w:val="00C949F6"/>
    <w:pPr>
      <w:suppressAutoHyphens w:val="0"/>
      <w:spacing w:before="100" w:beforeAutospacing="1" w:after="100" w:afterAutospacing="1"/>
      <w:jc w:val="left"/>
    </w:pPr>
    <w:rPr>
      <w:rFonts w:ascii="Times New Roman" w:hAnsi="Times New Roman" w:cs="Times New Roman"/>
      <w:kern w:val="0"/>
      <w:lang w:eastAsia="de-DE"/>
    </w:rPr>
  </w:style>
  <w:style w:type="character" w:styleId="Fett">
    <w:name w:val="Strong"/>
    <w:uiPriority w:val="22"/>
    <w:qFormat/>
    <w:rsid w:val="00A26360"/>
    <w:rPr>
      <w:b/>
      <w:bCs/>
    </w:rPr>
  </w:style>
  <w:style w:type="paragraph" w:styleId="StandardWeb">
    <w:name w:val="Normal (Web)"/>
    <w:basedOn w:val="Standard"/>
    <w:uiPriority w:val="99"/>
    <w:unhideWhenUsed/>
    <w:rsid w:val="006D0A35"/>
    <w:pPr>
      <w:suppressAutoHyphens w:val="0"/>
      <w:spacing w:before="100" w:beforeAutospacing="1" w:after="100" w:afterAutospacing="1"/>
      <w:jc w:val="left"/>
    </w:pPr>
    <w:rPr>
      <w:rFonts w:ascii="Times New Roman" w:hAnsi="Times New Roman" w:cs="Times New Roman"/>
      <w:kern w:val="0"/>
      <w:lang w:eastAsia="de-DE"/>
    </w:rPr>
  </w:style>
  <w:style w:type="paragraph" w:customStyle="1" w:styleId="Default">
    <w:name w:val="Default"/>
    <w:rsid w:val="006A1EB7"/>
    <w:pPr>
      <w:autoSpaceDE w:val="0"/>
      <w:autoSpaceDN w:val="0"/>
      <w:adjustRightInd w:val="0"/>
    </w:pPr>
    <w:rPr>
      <w:rFonts w:ascii="Calibri" w:hAnsi="Calibri" w:cs="Calibri"/>
      <w:color w:val="000000"/>
      <w:sz w:val="24"/>
      <w:szCs w:val="24"/>
    </w:rPr>
  </w:style>
  <w:style w:type="character" w:customStyle="1" w:styleId="hgkelc">
    <w:name w:val="hgkelc"/>
    <w:rsid w:val="00F73AF8"/>
  </w:style>
  <w:style w:type="paragraph" w:customStyle="1" w:styleId="FarbigeListe-Akzent11">
    <w:name w:val="Farbige Liste - Akzent 11"/>
    <w:basedOn w:val="Standard"/>
    <w:uiPriority w:val="72"/>
    <w:qFormat/>
    <w:rsid w:val="000A2C79"/>
    <w:pPr>
      <w:ind w:left="708"/>
    </w:pPr>
  </w:style>
  <w:style w:type="character" w:styleId="Kommentarzeichen">
    <w:name w:val="annotation reference"/>
    <w:uiPriority w:val="99"/>
    <w:semiHidden/>
    <w:unhideWhenUsed/>
    <w:rsid w:val="00CE0D58"/>
    <w:rPr>
      <w:sz w:val="16"/>
      <w:szCs w:val="16"/>
    </w:rPr>
  </w:style>
  <w:style w:type="paragraph" w:styleId="Kommentartext">
    <w:name w:val="annotation text"/>
    <w:basedOn w:val="Standard"/>
    <w:link w:val="KommentartextZchn"/>
    <w:uiPriority w:val="99"/>
    <w:semiHidden/>
    <w:unhideWhenUsed/>
    <w:rsid w:val="00CE0D58"/>
    <w:pPr>
      <w:suppressAutoHyphens w:val="0"/>
      <w:spacing w:after="160"/>
      <w:jc w:val="left"/>
    </w:pPr>
    <w:rPr>
      <w:rFonts w:ascii="Calibri" w:eastAsia="Calibri" w:hAnsi="Calibri" w:cs="Times New Roman"/>
      <w:kern w:val="0"/>
      <w:sz w:val="20"/>
      <w:szCs w:val="20"/>
      <w:lang w:eastAsia="en-US"/>
    </w:rPr>
  </w:style>
  <w:style w:type="character" w:customStyle="1" w:styleId="KommentartextZchn">
    <w:name w:val="Kommentartext Zchn"/>
    <w:link w:val="Kommentartext"/>
    <w:uiPriority w:val="99"/>
    <w:semiHidden/>
    <w:rsid w:val="00CE0D58"/>
    <w:rPr>
      <w:rFonts w:ascii="Calibri" w:eastAsia="Calibri" w:hAnsi="Calibri"/>
      <w:lang w:eastAsia="en-US"/>
    </w:rPr>
  </w:style>
  <w:style w:type="paragraph" w:styleId="Kommentarthema">
    <w:name w:val="annotation subject"/>
    <w:basedOn w:val="Kommentartext"/>
    <w:next w:val="Kommentartext"/>
    <w:link w:val="KommentarthemaZchn"/>
    <w:uiPriority w:val="99"/>
    <w:semiHidden/>
    <w:unhideWhenUsed/>
    <w:rsid w:val="00CE0D58"/>
    <w:pPr>
      <w:suppressAutoHyphens/>
      <w:spacing w:after="0"/>
      <w:jc w:val="both"/>
    </w:pPr>
    <w:rPr>
      <w:rFonts w:ascii="Arial" w:eastAsia="Times New Roman" w:hAnsi="Arial" w:cs="Arial"/>
      <w:b/>
      <w:bCs/>
      <w:kern w:val="1"/>
      <w:lang w:eastAsia="zh-CN"/>
    </w:rPr>
  </w:style>
  <w:style w:type="character" w:customStyle="1" w:styleId="KommentarthemaZchn">
    <w:name w:val="Kommentarthema Zchn"/>
    <w:link w:val="Kommentarthema"/>
    <w:uiPriority w:val="99"/>
    <w:semiHidden/>
    <w:rsid w:val="00CE0D58"/>
    <w:rPr>
      <w:rFonts w:ascii="Arial" w:eastAsia="Calibri" w:hAnsi="Arial" w:cs="Arial"/>
      <w:b/>
      <w:bCs/>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161">
      <w:bodyDiv w:val="1"/>
      <w:marLeft w:val="0"/>
      <w:marRight w:val="0"/>
      <w:marTop w:val="0"/>
      <w:marBottom w:val="0"/>
      <w:divBdr>
        <w:top w:val="none" w:sz="0" w:space="0" w:color="auto"/>
        <w:left w:val="none" w:sz="0" w:space="0" w:color="auto"/>
        <w:bottom w:val="none" w:sz="0" w:space="0" w:color="auto"/>
        <w:right w:val="none" w:sz="0" w:space="0" w:color="auto"/>
      </w:divBdr>
    </w:div>
    <w:div w:id="109084273">
      <w:bodyDiv w:val="1"/>
      <w:marLeft w:val="0"/>
      <w:marRight w:val="0"/>
      <w:marTop w:val="0"/>
      <w:marBottom w:val="0"/>
      <w:divBdr>
        <w:top w:val="none" w:sz="0" w:space="0" w:color="auto"/>
        <w:left w:val="none" w:sz="0" w:space="0" w:color="auto"/>
        <w:bottom w:val="none" w:sz="0" w:space="0" w:color="auto"/>
        <w:right w:val="none" w:sz="0" w:space="0" w:color="auto"/>
      </w:divBdr>
    </w:div>
    <w:div w:id="257294482">
      <w:bodyDiv w:val="1"/>
      <w:marLeft w:val="0"/>
      <w:marRight w:val="0"/>
      <w:marTop w:val="0"/>
      <w:marBottom w:val="0"/>
      <w:divBdr>
        <w:top w:val="none" w:sz="0" w:space="0" w:color="auto"/>
        <w:left w:val="none" w:sz="0" w:space="0" w:color="auto"/>
        <w:bottom w:val="none" w:sz="0" w:space="0" w:color="auto"/>
        <w:right w:val="none" w:sz="0" w:space="0" w:color="auto"/>
      </w:divBdr>
    </w:div>
    <w:div w:id="293755524">
      <w:bodyDiv w:val="1"/>
      <w:marLeft w:val="0"/>
      <w:marRight w:val="0"/>
      <w:marTop w:val="0"/>
      <w:marBottom w:val="0"/>
      <w:divBdr>
        <w:top w:val="none" w:sz="0" w:space="0" w:color="auto"/>
        <w:left w:val="none" w:sz="0" w:space="0" w:color="auto"/>
        <w:bottom w:val="none" w:sz="0" w:space="0" w:color="auto"/>
        <w:right w:val="none" w:sz="0" w:space="0" w:color="auto"/>
      </w:divBdr>
    </w:div>
    <w:div w:id="305211284">
      <w:bodyDiv w:val="1"/>
      <w:marLeft w:val="0"/>
      <w:marRight w:val="0"/>
      <w:marTop w:val="0"/>
      <w:marBottom w:val="0"/>
      <w:divBdr>
        <w:top w:val="none" w:sz="0" w:space="0" w:color="auto"/>
        <w:left w:val="none" w:sz="0" w:space="0" w:color="auto"/>
        <w:bottom w:val="none" w:sz="0" w:space="0" w:color="auto"/>
        <w:right w:val="none" w:sz="0" w:space="0" w:color="auto"/>
      </w:divBdr>
    </w:div>
    <w:div w:id="608850398">
      <w:bodyDiv w:val="1"/>
      <w:marLeft w:val="0"/>
      <w:marRight w:val="0"/>
      <w:marTop w:val="0"/>
      <w:marBottom w:val="0"/>
      <w:divBdr>
        <w:top w:val="none" w:sz="0" w:space="0" w:color="auto"/>
        <w:left w:val="none" w:sz="0" w:space="0" w:color="auto"/>
        <w:bottom w:val="none" w:sz="0" w:space="0" w:color="auto"/>
        <w:right w:val="none" w:sz="0" w:space="0" w:color="auto"/>
      </w:divBdr>
      <w:divsChild>
        <w:div w:id="2141066953">
          <w:marLeft w:val="0"/>
          <w:marRight w:val="0"/>
          <w:marTop w:val="0"/>
          <w:marBottom w:val="0"/>
          <w:divBdr>
            <w:top w:val="none" w:sz="0" w:space="0" w:color="auto"/>
            <w:left w:val="none" w:sz="0" w:space="0" w:color="auto"/>
            <w:bottom w:val="none" w:sz="0" w:space="0" w:color="auto"/>
            <w:right w:val="none" w:sz="0" w:space="0" w:color="auto"/>
          </w:divBdr>
        </w:div>
      </w:divsChild>
    </w:div>
    <w:div w:id="679116612">
      <w:bodyDiv w:val="1"/>
      <w:marLeft w:val="0"/>
      <w:marRight w:val="0"/>
      <w:marTop w:val="0"/>
      <w:marBottom w:val="0"/>
      <w:divBdr>
        <w:top w:val="none" w:sz="0" w:space="0" w:color="auto"/>
        <w:left w:val="none" w:sz="0" w:space="0" w:color="auto"/>
        <w:bottom w:val="none" w:sz="0" w:space="0" w:color="auto"/>
        <w:right w:val="none" w:sz="0" w:space="0" w:color="auto"/>
      </w:divBdr>
      <w:divsChild>
        <w:div w:id="857041862">
          <w:marLeft w:val="0"/>
          <w:marRight w:val="0"/>
          <w:marTop w:val="0"/>
          <w:marBottom w:val="0"/>
          <w:divBdr>
            <w:top w:val="none" w:sz="0" w:space="0" w:color="auto"/>
            <w:left w:val="none" w:sz="0" w:space="0" w:color="auto"/>
            <w:bottom w:val="none" w:sz="0" w:space="0" w:color="auto"/>
            <w:right w:val="none" w:sz="0" w:space="0" w:color="auto"/>
          </w:divBdr>
        </w:div>
      </w:divsChild>
    </w:div>
    <w:div w:id="747969551">
      <w:bodyDiv w:val="1"/>
      <w:marLeft w:val="0"/>
      <w:marRight w:val="0"/>
      <w:marTop w:val="0"/>
      <w:marBottom w:val="0"/>
      <w:divBdr>
        <w:top w:val="none" w:sz="0" w:space="0" w:color="auto"/>
        <w:left w:val="none" w:sz="0" w:space="0" w:color="auto"/>
        <w:bottom w:val="none" w:sz="0" w:space="0" w:color="auto"/>
        <w:right w:val="none" w:sz="0" w:space="0" w:color="auto"/>
      </w:divBdr>
    </w:div>
    <w:div w:id="790173250">
      <w:bodyDiv w:val="1"/>
      <w:marLeft w:val="0"/>
      <w:marRight w:val="0"/>
      <w:marTop w:val="0"/>
      <w:marBottom w:val="0"/>
      <w:divBdr>
        <w:top w:val="none" w:sz="0" w:space="0" w:color="auto"/>
        <w:left w:val="none" w:sz="0" w:space="0" w:color="auto"/>
        <w:bottom w:val="none" w:sz="0" w:space="0" w:color="auto"/>
        <w:right w:val="none" w:sz="0" w:space="0" w:color="auto"/>
      </w:divBdr>
      <w:divsChild>
        <w:div w:id="797259030">
          <w:marLeft w:val="0"/>
          <w:marRight w:val="0"/>
          <w:marTop w:val="0"/>
          <w:marBottom w:val="0"/>
          <w:divBdr>
            <w:top w:val="none" w:sz="0" w:space="0" w:color="auto"/>
            <w:left w:val="none" w:sz="0" w:space="0" w:color="auto"/>
            <w:bottom w:val="none" w:sz="0" w:space="0" w:color="auto"/>
            <w:right w:val="none" w:sz="0" w:space="0" w:color="auto"/>
          </w:divBdr>
        </w:div>
      </w:divsChild>
    </w:div>
    <w:div w:id="1020203037">
      <w:bodyDiv w:val="1"/>
      <w:marLeft w:val="0"/>
      <w:marRight w:val="0"/>
      <w:marTop w:val="0"/>
      <w:marBottom w:val="0"/>
      <w:divBdr>
        <w:top w:val="none" w:sz="0" w:space="0" w:color="auto"/>
        <w:left w:val="none" w:sz="0" w:space="0" w:color="auto"/>
        <w:bottom w:val="none" w:sz="0" w:space="0" w:color="auto"/>
        <w:right w:val="none" w:sz="0" w:space="0" w:color="auto"/>
      </w:divBdr>
    </w:div>
    <w:div w:id="1215967192">
      <w:bodyDiv w:val="1"/>
      <w:marLeft w:val="0"/>
      <w:marRight w:val="0"/>
      <w:marTop w:val="0"/>
      <w:marBottom w:val="0"/>
      <w:divBdr>
        <w:top w:val="none" w:sz="0" w:space="0" w:color="auto"/>
        <w:left w:val="none" w:sz="0" w:space="0" w:color="auto"/>
        <w:bottom w:val="none" w:sz="0" w:space="0" w:color="auto"/>
        <w:right w:val="none" w:sz="0" w:space="0" w:color="auto"/>
      </w:divBdr>
      <w:divsChild>
        <w:div w:id="195703258">
          <w:marLeft w:val="0"/>
          <w:marRight w:val="0"/>
          <w:marTop w:val="0"/>
          <w:marBottom w:val="0"/>
          <w:divBdr>
            <w:top w:val="none" w:sz="0" w:space="0" w:color="auto"/>
            <w:left w:val="none" w:sz="0" w:space="0" w:color="auto"/>
            <w:bottom w:val="none" w:sz="0" w:space="0" w:color="auto"/>
            <w:right w:val="none" w:sz="0" w:space="0" w:color="auto"/>
          </w:divBdr>
          <w:divsChild>
            <w:div w:id="358554206">
              <w:marLeft w:val="0"/>
              <w:marRight w:val="0"/>
              <w:marTop w:val="0"/>
              <w:marBottom w:val="0"/>
              <w:divBdr>
                <w:top w:val="none" w:sz="0" w:space="0" w:color="auto"/>
                <w:left w:val="none" w:sz="0" w:space="0" w:color="auto"/>
                <w:bottom w:val="none" w:sz="0" w:space="0" w:color="auto"/>
                <w:right w:val="none" w:sz="0" w:space="0" w:color="auto"/>
              </w:divBdr>
              <w:divsChild>
                <w:div w:id="583684516">
                  <w:marLeft w:val="0"/>
                  <w:marRight w:val="0"/>
                  <w:marTop w:val="0"/>
                  <w:marBottom w:val="0"/>
                  <w:divBdr>
                    <w:top w:val="none" w:sz="0" w:space="0" w:color="auto"/>
                    <w:left w:val="none" w:sz="0" w:space="0" w:color="auto"/>
                    <w:bottom w:val="none" w:sz="0" w:space="0" w:color="auto"/>
                    <w:right w:val="none" w:sz="0" w:space="0" w:color="auto"/>
                  </w:divBdr>
                  <w:divsChild>
                    <w:div w:id="219363928">
                      <w:marLeft w:val="0"/>
                      <w:marRight w:val="0"/>
                      <w:marTop w:val="0"/>
                      <w:marBottom w:val="0"/>
                      <w:divBdr>
                        <w:top w:val="none" w:sz="0" w:space="0" w:color="auto"/>
                        <w:left w:val="none" w:sz="0" w:space="0" w:color="auto"/>
                        <w:bottom w:val="none" w:sz="0" w:space="0" w:color="auto"/>
                        <w:right w:val="none" w:sz="0" w:space="0" w:color="auto"/>
                      </w:divBdr>
                      <w:divsChild>
                        <w:div w:id="42289401">
                          <w:marLeft w:val="0"/>
                          <w:marRight w:val="0"/>
                          <w:marTop w:val="0"/>
                          <w:marBottom w:val="0"/>
                          <w:divBdr>
                            <w:top w:val="none" w:sz="0" w:space="0" w:color="auto"/>
                            <w:left w:val="none" w:sz="0" w:space="0" w:color="auto"/>
                            <w:bottom w:val="none" w:sz="0" w:space="0" w:color="auto"/>
                            <w:right w:val="none" w:sz="0" w:space="0" w:color="auto"/>
                          </w:divBdr>
                          <w:divsChild>
                            <w:div w:id="97780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1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135446">
          <w:marLeft w:val="0"/>
          <w:marRight w:val="0"/>
          <w:marTop w:val="0"/>
          <w:marBottom w:val="0"/>
          <w:divBdr>
            <w:top w:val="none" w:sz="0" w:space="0" w:color="auto"/>
            <w:left w:val="none" w:sz="0" w:space="0" w:color="auto"/>
            <w:bottom w:val="none" w:sz="0" w:space="0" w:color="auto"/>
            <w:right w:val="none" w:sz="0" w:space="0" w:color="auto"/>
          </w:divBdr>
          <w:divsChild>
            <w:div w:id="348526130">
              <w:marLeft w:val="0"/>
              <w:marRight w:val="0"/>
              <w:marTop w:val="0"/>
              <w:marBottom w:val="0"/>
              <w:divBdr>
                <w:top w:val="none" w:sz="0" w:space="0" w:color="auto"/>
                <w:left w:val="none" w:sz="0" w:space="0" w:color="auto"/>
                <w:bottom w:val="none" w:sz="0" w:space="0" w:color="auto"/>
                <w:right w:val="none" w:sz="0" w:space="0" w:color="auto"/>
              </w:divBdr>
              <w:divsChild>
                <w:div w:id="1322849936">
                  <w:marLeft w:val="0"/>
                  <w:marRight w:val="0"/>
                  <w:marTop w:val="0"/>
                  <w:marBottom w:val="0"/>
                  <w:divBdr>
                    <w:top w:val="none" w:sz="0" w:space="0" w:color="auto"/>
                    <w:left w:val="none" w:sz="0" w:space="0" w:color="auto"/>
                    <w:bottom w:val="none" w:sz="0" w:space="0" w:color="auto"/>
                    <w:right w:val="none" w:sz="0" w:space="0" w:color="auto"/>
                  </w:divBdr>
                  <w:divsChild>
                    <w:div w:id="9016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170319">
          <w:marLeft w:val="0"/>
          <w:marRight w:val="0"/>
          <w:marTop w:val="0"/>
          <w:marBottom w:val="0"/>
          <w:divBdr>
            <w:top w:val="none" w:sz="0" w:space="0" w:color="auto"/>
            <w:left w:val="none" w:sz="0" w:space="0" w:color="auto"/>
            <w:bottom w:val="none" w:sz="0" w:space="0" w:color="auto"/>
            <w:right w:val="none" w:sz="0" w:space="0" w:color="auto"/>
          </w:divBdr>
          <w:divsChild>
            <w:div w:id="1899703060">
              <w:marLeft w:val="0"/>
              <w:marRight w:val="0"/>
              <w:marTop w:val="0"/>
              <w:marBottom w:val="0"/>
              <w:divBdr>
                <w:top w:val="none" w:sz="0" w:space="0" w:color="auto"/>
                <w:left w:val="none" w:sz="0" w:space="0" w:color="auto"/>
                <w:bottom w:val="none" w:sz="0" w:space="0" w:color="auto"/>
                <w:right w:val="none" w:sz="0" w:space="0" w:color="auto"/>
              </w:divBdr>
              <w:divsChild>
                <w:div w:id="1982997256">
                  <w:marLeft w:val="0"/>
                  <w:marRight w:val="0"/>
                  <w:marTop w:val="0"/>
                  <w:marBottom w:val="0"/>
                  <w:divBdr>
                    <w:top w:val="none" w:sz="0" w:space="0" w:color="auto"/>
                    <w:left w:val="none" w:sz="0" w:space="0" w:color="auto"/>
                    <w:bottom w:val="none" w:sz="0" w:space="0" w:color="auto"/>
                    <w:right w:val="none" w:sz="0" w:space="0" w:color="auto"/>
                  </w:divBdr>
                  <w:divsChild>
                    <w:div w:id="117653236">
                      <w:marLeft w:val="0"/>
                      <w:marRight w:val="0"/>
                      <w:marTop w:val="0"/>
                      <w:marBottom w:val="0"/>
                      <w:divBdr>
                        <w:top w:val="none" w:sz="0" w:space="0" w:color="auto"/>
                        <w:left w:val="none" w:sz="0" w:space="0" w:color="auto"/>
                        <w:bottom w:val="none" w:sz="0" w:space="0" w:color="auto"/>
                        <w:right w:val="none" w:sz="0" w:space="0" w:color="auto"/>
                      </w:divBdr>
                      <w:divsChild>
                        <w:div w:id="510140578">
                          <w:marLeft w:val="0"/>
                          <w:marRight w:val="0"/>
                          <w:marTop w:val="0"/>
                          <w:marBottom w:val="0"/>
                          <w:divBdr>
                            <w:top w:val="none" w:sz="0" w:space="0" w:color="auto"/>
                            <w:left w:val="none" w:sz="0" w:space="0" w:color="auto"/>
                            <w:bottom w:val="none" w:sz="0" w:space="0" w:color="auto"/>
                            <w:right w:val="none" w:sz="0" w:space="0" w:color="auto"/>
                          </w:divBdr>
                          <w:divsChild>
                            <w:div w:id="56931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973254">
                      <w:marLeft w:val="0"/>
                      <w:marRight w:val="0"/>
                      <w:marTop w:val="0"/>
                      <w:marBottom w:val="0"/>
                      <w:divBdr>
                        <w:top w:val="none" w:sz="0" w:space="0" w:color="auto"/>
                        <w:left w:val="none" w:sz="0" w:space="0" w:color="auto"/>
                        <w:bottom w:val="none" w:sz="0" w:space="0" w:color="auto"/>
                        <w:right w:val="none" w:sz="0" w:space="0" w:color="auto"/>
                      </w:divBdr>
                      <w:divsChild>
                        <w:div w:id="55038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874147">
      <w:bodyDiv w:val="1"/>
      <w:marLeft w:val="0"/>
      <w:marRight w:val="0"/>
      <w:marTop w:val="0"/>
      <w:marBottom w:val="0"/>
      <w:divBdr>
        <w:top w:val="none" w:sz="0" w:space="0" w:color="auto"/>
        <w:left w:val="none" w:sz="0" w:space="0" w:color="auto"/>
        <w:bottom w:val="none" w:sz="0" w:space="0" w:color="auto"/>
        <w:right w:val="none" w:sz="0" w:space="0" w:color="auto"/>
      </w:divBdr>
      <w:divsChild>
        <w:div w:id="240482728">
          <w:marLeft w:val="0"/>
          <w:marRight w:val="0"/>
          <w:marTop w:val="0"/>
          <w:marBottom w:val="0"/>
          <w:divBdr>
            <w:top w:val="none" w:sz="0" w:space="0" w:color="auto"/>
            <w:left w:val="none" w:sz="0" w:space="0" w:color="auto"/>
            <w:bottom w:val="none" w:sz="0" w:space="0" w:color="auto"/>
            <w:right w:val="none" w:sz="0" w:space="0" w:color="auto"/>
          </w:divBdr>
          <w:divsChild>
            <w:div w:id="884608094">
              <w:marLeft w:val="0"/>
              <w:marRight w:val="0"/>
              <w:marTop w:val="0"/>
              <w:marBottom w:val="0"/>
              <w:divBdr>
                <w:top w:val="none" w:sz="0" w:space="0" w:color="auto"/>
                <w:left w:val="none" w:sz="0" w:space="0" w:color="auto"/>
                <w:bottom w:val="none" w:sz="0" w:space="0" w:color="auto"/>
                <w:right w:val="none" w:sz="0" w:space="0" w:color="auto"/>
              </w:divBdr>
              <w:divsChild>
                <w:div w:id="104459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47360">
          <w:marLeft w:val="0"/>
          <w:marRight w:val="0"/>
          <w:marTop w:val="0"/>
          <w:marBottom w:val="0"/>
          <w:divBdr>
            <w:top w:val="none" w:sz="0" w:space="0" w:color="auto"/>
            <w:left w:val="none" w:sz="0" w:space="0" w:color="auto"/>
            <w:bottom w:val="none" w:sz="0" w:space="0" w:color="auto"/>
            <w:right w:val="none" w:sz="0" w:space="0" w:color="auto"/>
          </w:divBdr>
          <w:divsChild>
            <w:div w:id="1609193845">
              <w:marLeft w:val="0"/>
              <w:marRight w:val="0"/>
              <w:marTop w:val="0"/>
              <w:marBottom w:val="0"/>
              <w:divBdr>
                <w:top w:val="none" w:sz="0" w:space="0" w:color="auto"/>
                <w:left w:val="none" w:sz="0" w:space="0" w:color="auto"/>
                <w:bottom w:val="none" w:sz="0" w:space="0" w:color="auto"/>
                <w:right w:val="none" w:sz="0" w:space="0" w:color="auto"/>
              </w:divBdr>
              <w:divsChild>
                <w:div w:id="1309703312">
                  <w:marLeft w:val="0"/>
                  <w:marRight w:val="0"/>
                  <w:marTop w:val="0"/>
                  <w:marBottom w:val="0"/>
                  <w:divBdr>
                    <w:top w:val="none" w:sz="0" w:space="0" w:color="auto"/>
                    <w:left w:val="none" w:sz="0" w:space="0" w:color="auto"/>
                    <w:bottom w:val="none" w:sz="0" w:space="0" w:color="auto"/>
                    <w:right w:val="none" w:sz="0" w:space="0" w:color="auto"/>
                  </w:divBdr>
                </w:div>
                <w:div w:id="1362243196">
                  <w:marLeft w:val="0"/>
                  <w:marRight w:val="0"/>
                  <w:marTop w:val="0"/>
                  <w:marBottom w:val="0"/>
                  <w:divBdr>
                    <w:top w:val="none" w:sz="0" w:space="0" w:color="auto"/>
                    <w:left w:val="none" w:sz="0" w:space="0" w:color="auto"/>
                    <w:bottom w:val="none" w:sz="0" w:space="0" w:color="auto"/>
                    <w:right w:val="none" w:sz="0" w:space="0" w:color="auto"/>
                  </w:divBdr>
                </w:div>
                <w:div w:id="137653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476447">
      <w:bodyDiv w:val="1"/>
      <w:marLeft w:val="0"/>
      <w:marRight w:val="0"/>
      <w:marTop w:val="0"/>
      <w:marBottom w:val="0"/>
      <w:divBdr>
        <w:top w:val="none" w:sz="0" w:space="0" w:color="auto"/>
        <w:left w:val="none" w:sz="0" w:space="0" w:color="auto"/>
        <w:bottom w:val="none" w:sz="0" w:space="0" w:color="auto"/>
        <w:right w:val="none" w:sz="0" w:space="0" w:color="auto"/>
      </w:divBdr>
    </w:div>
    <w:div w:id="1763914328">
      <w:bodyDiv w:val="1"/>
      <w:marLeft w:val="0"/>
      <w:marRight w:val="0"/>
      <w:marTop w:val="0"/>
      <w:marBottom w:val="0"/>
      <w:divBdr>
        <w:top w:val="none" w:sz="0" w:space="0" w:color="auto"/>
        <w:left w:val="none" w:sz="0" w:space="0" w:color="auto"/>
        <w:bottom w:val="none" w:sz="0" w:space="0" w:color="auto"/>
        <w:right w:val="none" w:sz="0" w:space="0" w:color="auto"/>
      </w:divBdr>
    </w:div>
    <w:div w:id="1833763257">
      <w:bodyDiv w:val="1"/>
      <w:marLeft w:val="0"/>
      <w:marRight w:val="0"/>
      <w:marTop w:val="0"/>
      <w:marBottom w:val="0"/>
      <w:divBdr>
        <w:top w:val="none" w:sz="0" w:space="0" w:color="auto"/>
        <w:left w:val="none" w:sz="0" w:space="0" w:color="auto"/>
        <w:bottom w:val="none" w:sz="0" w:space="0" w:color="auto"/>
        <w:right w:val="none" w:sz="0" w:space="0" w:color="auto"/>
      </w:divBdr>
      <w:divsChild>
        <w:div w:id="354157121">
          <w:marLeft w:val="0"/>
          <w:marRight w:val="0"/>
          <w:marTop w:val="0"/>
          <w:marBottom w:val="0"/>
          <w:divBdr>
            <w:top w:val="none" w:sz="0" w:space="0" w:color="auto"/>
            <w:left w:val="none" w:sz="0" w:space="0" w:color="auto"/>
            <w:bottom w:val="none" w:sz="0" w:space="0" w:color="auto"/>
            <w:right w:val="none" w:sz="0" w:space="0" w:color="auto"/>
          </w:divBdr>
        </w:div>
      </w:divsChild>
    </w:div>
    <w:div w:id="1839081030">
      <w:bodyDiv w:val="1"/>
      <w:marLeft w:val="0"/>
      <w:marRight w:val="0"/>
      <w:marTop w:val="0"/>
      <w:marBottom w:val="0"/>
      <w:divBdr>
        <w:top w:val="none" w:sz="0" w:space="0" w:color="auto"/>
        <w:left w:val="none" w:sz="0" w:space="0" w:color="auto"/>
        <w:bottom w:val="none" w:sz="0" w:space="0" w:color="auto"/>
        <w:right w:val="none" w:sz="0" w:space="0" w:color="auto"/>
      </w:divBdr>
      <w:divsChild>
        <w:div w:id="1101072881">
          <w:marLeft w:val="0"/>
          <w:marRight w:val="0"/>
          <w:marTop w:val="0"/>
          <w:marBottom w:val="0"/>
          <w:divBdr>
            <w:top w:val="none" w:sz="0" w:space="0" w:color="auto"/>
            <w:left w:val="none" w:sz="0" w:space="0" w:color="auto"/>
            <w:bottom w:val="none" w:sz="0" w:space="0" w:color="auto"/>
            <w:right w:val="none" w:sz="0" w:space="0" w:color="auto"/>
          </w:divBdr>
        </w:div>
      </w:divsChild>
    </w:div>
    <w:div w:id="2015838897">
      <w:bodyDiv w:val="1"/>
      <w:marLeft w:val="0"/>
      <w:marRight w:val="0"/>
      <w:marTop w:val="0"/>
      <w:marBottom w:val="0"/>
      <w:divBdr>
        <w:top w:val="none" w:sz="0" w:space="0" w:color="auto"/>
        <w:left w:val="none" w:sz="0" w:space="0" w:color="auto"/>
        <w:bottom w:val="none" w:sz="0" w:space="0" w:color="auto"/>
        <w:right w:val="none" w:sz="0" w:space="0" w:color="auto"/>
      </w:divBdr>
    </w:div>
    <w:div w:id="2047413901">
      <w:bodyDiv w:val="1"/>
      <w:marLeft w:val="0"/>
      <w:marRight w:val="0"/>
      <w:marTop w:val="0"/>
      <w:marBottom w:val="0"/>
      <w:divBdr>
        <w:top w:val="none" w:sz="0" w:space="0" w:color="auto"/>
        <w:left w:val="none" w:sz="0" w:space="0" w:color="auto"/>
        <w:bottom w:val="none" w:sz="0" w:space="0" w:color="auto"/>
        <w:right w:val="none" w:sz="0" w:space="0" w:color="auto"/>
      </w:divBdr>
    </w:div>
    <w:div w:id="2052413131">
      <w:bodyDiv w:val="1"/>
      <w:marLeft w:val="0"/>
      <w:marRight w:val="0"/>
      <w:marTop w:val="0"/>
      <w:marBottom w:val="0"/>
      <w:divBdr>
        <w:top w:val="none" w:sz="0" w:space="0" w:color="auto"/>
        <w:left w:val="none" w:sz="0" w:space="0" w:color="auto"/>
        <w:bottom w:val="none" w:sz="0" w:space="0" w:color="auto"/>
        <w:right w:val="none" w:sz="0" w:space="0" w:color="auto"/>
      </w:divBdr>
      <w:divsChild>
        <w:div w:id="90401180">
          <w:marLeft w:val="0"/>
          <w:marRight w:val="0"/>
          <w:marTop w:val="75"/>
          <w:marBottom w:val="0"/>
          <w:divBdr>
            <w:top w:val="single" w:sz="6" w:space="8" w:color="E8E8E8"/>
            <w:left w:val="single" w:sz="6" w:space="8" w:color="E8E8E8"/>
            <w:bottom w:val="single" w:sz="6" w:space="8" w:color="E8E8E8"/>
            <w:right w:val="single" w:sz="6" w:space="8" w:color="E8E8E8"/>
          </w:divBdr>
        </w:div>
        <w:div w:id="466360088">
          <w:marLeft w:val="0"/>
          <w:marRight w:val="0"/>
          <w:marTop w:val="75"/>
          <w:marBottom w:val="0"/>
          <w:divBdr>
            <w:top w:val="single" w:sz="6" w:space="8" w:color="E8E8E8"/>
            <w:left w:val="single" w:sz="6" w:space="8" w:color="E8E8E8"/>
            <w:bottom w:val="single" w:sz="6" w:space="8" w:color="E8E8E8"/>
            <w:right w:val="single" w:sz="6" w:space="8" w:color="E8E8E8"/>
          </w:divBdr>
        </w:div>
        <w:div w:id="588513350">
          <w:marLeft w:val="0"/>
          <w:marRight w:val="0"/>
          <w:marTop w:val="75"/>
          <w:marBottom w:val="0"/>
          <w:divBdr>
            <w:top w:val="single" w:sz="6" w:space="8" w:color="E8E8E8"/>
            <w:left w:val="single" w:sz="6" w:space="8" w:color="E8E8E8"/>
            <w:bottom w:val="single" w:sz="6" w:space="8" w:color="E8E8E8"/>
            <w:right w:val="single" w:sz="6" w:space="8" w:color="E8E8E8"/>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hoosingwisely.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reenerpractice.co.uk/" TargetMode="External"/><Relationship Id="rId4" Type="http://schemas.openxmlformats.org/officeDocument/2006/relationships/settings" Target="settings.xml"/><Relationship Id="rId9" Type="http://schemas.openxmlformats.org/officeDocument/2006/relationships/hyperlink" Target="https://www.klug-entscheiden.com/empfehlungen/uebersich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Gro&#223;mann\Anwendungsdaten\Microsoft\Vorlagen\grundqm.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F062E6-C2CD-4A9E-ACC7-6F2D2B329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grundqm.dot</Template>
  <TotalTime>0</TotalTime>
  <Pages>6</Pages>
  <Words>2361</Words>
  <Characters>14880</Characters>
  <Application>Microsoft Office Word</Application>
  <DocSecurity>0</DocSecurity>
  <Lines>124</Lines>
  <Paragraphs>34</Paragraphs>
  <ScaleCrop>false</ScaleCrop>
  <HeadingPairs>
    <vt:vector size="2" baseType="variant">
      <vt:variant>
        <vt:lpstr>Titel</vt:lpstr>
      </vt:variant>
      <vt:variant>
        <vt:i4>1</vt:i4>
      </vt:variant>
    </vt:vector>
  </HeadingPairs>
  <TitlesOfParts>
    <vt:vector size="1" baseType="lpstr">
      <vt:lpstr>7-produktrealisierung</vt:lpstr>
    </vt:vector>
  </TitlesOfParts>
  <Company/>
  <LinksUpToDate>false</LinksUpToDate>
  <CharactersWithSpaces>17207</CharactersWithSpaces>
  <SharedDoc>false</SharedDoc>
  <HLinks>
    <vt:vector size="18" baseType="variant">
      <vt:variant>
        <vt:i4>2556005</vt:i4>
      </vt:variant>
      <vt:variant>
        <vt:i4>6</vt:i4>
      </vt:variant>
      <vt:variant>
        <vt:i4>0</vt:i4>
      </vt:variant>
      <vt:variant>
        <vt:i4>5</vt:i4>
      </vt:variant>
      <vt:variant>
        <vt:lpwstr>https://www.greenerpractice.co.uk/</vt:lpwstr>
      </vt:variant>
      <vt:variant>
        <vt:lpwstr/>
      </vt:variant>
      <vt:variant>
        <vt:i4>786463</vt:i4>
      </vt:variant>
      <vt:variant>
        <vt:i4>3</vt:i4>
      </vt:variant>
      <vt:variant>
        <vt:i4>0</vt:i4>
      </vt:variant>
      <vt:variant>
        <vt:i4>5</vt:i4>
      </vt:variant>
      <vt:variant>
        <vt:lpwstr>https://www.klug-entscheiden.com/empfehlungen/uebersicht</vt:lpwstr>
      </vt:variant>
      <vt:variant>
        <vt:lpwstr/>
      </vt:variant>
      <vt:variant>
        <vt:i4>3932261</vt:i4>
      </vt:variant>
      <vt:variant>
        <vt:i4>0</vt:i4>
      </vt:variant>
      <vt:variant>
        <vt:i4>0</vt:i4>
      </vt:variant>
      <vt:variant>
        <vt:i4>5</vt:i4>
      </vt:variant>
      <vt:variant>
        <vt:lpwstr>https://www.choosingwisely.org/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7-produktrealisierung</dc:title>
  <dc:subject>Musterhandbuch</dc:subject>
  <dc:creator>Dr. W.Tiedemann</dc:creator>
  <cp:keywords/>
  <dc:description/>
  <cp:lastModifiedBy>Christina</cp:lastModifiedBy>
  <cp:revision>10</cp:revision>
  <cp:lastPrinted>2012-09-24T09:29:00Z</cp:lastPrinted>
  <dcterms:created xsi:type="dcterms:W3CDTF">2026-01-11T17:47:00Z</dcterms:created>
  <dcterms:modified xsi:type="dcterms:W3CDTF">2026-01-14T20:54:00Z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-971332706</vt:i4>
  </property>
  <property fmtid="{D5CDD505-2E9C-101B-9397-08002B2CF9AE}" pid="3" name="_AuthorEmail">
    <vt:lpwstr>frauenaerzte@drgrossmann.com</vt:lpwstr>
  </property>
  <property fmtid="{D5CDD505-2E9C-101B-9397-08002B2CF9AE}" pid="4" name="_AuthorEmailDisplayName">
    <vt:lpwstr>Spier</vt:lpwstr>
  </property>
  <property fmtid="{D5CDD505-2E9C-101B-9397-08002B2CF9AE}" pid="5" name="_EmailSubject">
    <vt:lpwstr>Dateien Kapitel 1-8</vt:lpwstr>
  </property>
  <property fmtid="{D5CDD505-2E9C-101B-9397-08002B2CF9AE}" pid="6" name="_ReviewingToolsShownOnce">
    <vt:lpwstr/>
  </property>
</Properties>
</file>