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39EA48" w14:textId="0EDEB403" w:rsidR="00AA5B49" w:rsidRDefault="00AA5B49" w:rsidP="00AA5B49">
      <w:pPr>
        <w:pStyle w:val="Default"/>
        <w:rPr>
          <w:b/>
          <w:bCs/>
          <w:color w:val="auto"/>
          <w:sz w:val="22"/>
          <w:szCs w:val="22"/>
        </w:rPr>
      </w:pPr>
      <w:r w:rsidRPr="00AA5B49">
        <w:rPr>
          <w:b/>
          <w:bCs/>
          <w:color w:val="auto"/>
          <w:sz w:val="22"/>
          <w:szCs w:val="22"/>
        </w:rPr>
        <w:t xml:space="preserve">Sehr geehrte Patientin, sehr geehrter Patient! </w:t>
      </w:r>
    </w:p>
    <w:p w14:paraId="10AC85B3" w14:textId="77777777" w:rsidR="00AA5B49" w:rsidRPr="00AA5B49" w:rsidRDefault="00AA5B49" w:rsidP="00AA5B49">
      <w:pPr>
        <w:pStyle w:val="Default"/>
        <w:rPr>
          <w:color w:val="auto"/>
          <w:sz w:val="22"/>
          <w:szCs w:val="22"/>
        </w:rPr>
      </w:pPr>
    </w:p>
    <w:p w14:paraId="78DDBFC4" w14:textId="53D02A93" w:rsidR="00AA5B49" w:rsidRDefault="00AA5B49" w:rsidP="00AA5B49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M</w:t>
      </w:r>
      <w:r w:rsidRPr="00AA5B49">
        <w:rPr>
          <w:color w:val="auto"/>
          <w:sz w:val="22"/>
          <w:szCs w:val="22"/>
        </w:rPr>
        <w:t xml:space="preserve">it </w:t>
      </w:r>
      <w:r>
        <w:rPr>
          <w:color w:val="auto"/>
          <w:sz w:val="22"/>
          <w:szCs w:val="22"/>
        </w:rPr>
        <w:t>einer</w:t>
      </w:r>
      <w:r w:rsidRPr="00AA5B49">
        <w:rPr>
          <w:color w:val="auto"/>
          <w:sz w:val="22"/>
          <w:szCs w:val="22"/>
        </w:rPr>
        <w:t xml:space="preserve"> korrekten Entsorgung von alten Arzneimitteln leisten Sie einen sehr wesentlichen Beitrag zum Umweltschutz. </w:t>
      </w:r>
    </w:p>
    <w:p w14:paraId="73FE29E8" w14:textId="77777777" w:rsidR="00AA5B49" w:rsidRPr="00AA5B49" w:rsidRDefault="00AA5B49" w:rsidP="00AA5B49">
      <w:pPr>
        <w:pStyle w:val="Default"/>
        <w:rPr>
          <w:color w:val="auto"/>
          <w:sz w:val="22"/>
          <w:szCs w:val="22"/>
        </w:rPr>
      </w:pPr>
    </w:p>
    <w:p w14:paraId="624B4F6C" w14:textId="6F761D3F" w:rsidR="00AA5B49" w:rsidRDefault="00AA5B49" w:rsidP="00AA5B49">
      <w:pPr>
        <w:pStyle w:val="Default"/>
        <w:rPr>
          <w:b/>
          <w:bCs/>
          <w:color w:val="0000FF"/>
          <w:sz w:val="22"/>
          <w:szCs w:val="22"/>
        </w:rPr>
      </w:pPr>
      <w:r w:rsidRPr="00AA5B49">
        <w:rPr>
          <w:color w:val="auto"/>
          <w:sz w:val="22"/>
          <w:szCs w:val="22"/>
        </w:rPr>
        <w:t xml:space="preserve">Auf der Internetseite </w:t>
      </w:r>
      <w:hyperlink r:id="rId7" w:history="1">
        <w:r w:rsidR="00372907" w:rsidRPr="003C4F66">
          <w:rPr>
            <w:rStyle w:val="Hyperlink"/>
            <w:b/>
            <w:bCs/>
            <w:sz w:val="22"/>
            <w:szCs w:val="22"/>
          </w:rPr>
          <w:t>https://arzneimittelentsorgung.de/home/</w:t>
        </w:r>
      </w:hyperlink>
    </w:p>
    <w:p w14:paraId="7E32C12A" w14:textId="591FD0B3" w:rsidR="00AA5B49" w:rsidRDefault="00D5157A" w:rsidP="00AA5B49">
      <w:pPr>
        <w:pStyle w:val="Default"/>
        <w:rPr>
          <w:sz w:val="22"/>
          <w:szCs w:val="22"/>
        </w:rPr>
      </w:pPr>
      <w:r>
        <w:rPr>
          <w:sz w:val="22"/>
          <w:szCs w:val="22"/>
        </w:rPr>
        <w:t>Finden Sie Informationen über korrekte</w:t>
      </w:r>
      <w:r w:rsidR="00AA5B49" w:rsidRPr="00AA5B49">
        <w:rPr>
          <w:sz w:val="22"/>
          <w:szCs w:val="22"/>
        </w:rPr>
        <w:t xml:space="preserve"> und umweltschonende </w:t>
      </w:r>
      <w:proofErr w:type="gramStart"/>
      <w:r w:rsidR="00AA5B49" w:rsidRPr="00AA5B49">
        <w:rPr>
          <w:sz w:val="22"/>
          <w:szCs w:val="22"/>
        </w:rPr>
        <w:t xml:space="preserve">Entsorgung </w:t>
      </w:r>
      <w:r>
        <w:rPr>
          <w:sz w:val="22"/>
          <w:szCs w:val="22"/>
        </w:rPr>
        <w:t xml:space="preserve"> von</w:t>
      </w:r>
      <w:proofErr w:type="gramEnd"/>
      <w:r>
        <w:rPr>
          <w:sz w:val="22"/>
          <w:szCs w:val="22"/>
        </w:rPr>
        <w:t xml:space="preserve"> Arzneimitteln </w:t>
      </w:r>
      <w:r w:rsidR="00AA5B49" w:rsidRPr="00AA5B49">
        <w:rPr>
          <w:sz w:val="22"/>
          <w:szCs w:val="22"/>
        </w:rPr>
        <w:t xml:space="preserve">an Ihrem Wohnort. Sofern der Beipackzettel eines Arzneimittels keine speziellen Hinweise für die Entsorgung enthält, sollten Sie sich an folgenden Grundsätzen orientieren: </w:t>
      </w:r>
    </w:p>
    <w:p w14:paraId="25F12FEB" w14:textId="77777777" w:rsidR="00AA5B49" w:rsidRPr="00AA5B49" w:rsidRDefault="00AA5B49" w:rsidP="00AA5B49">
      <w:pPr>
        <w:pStyle w:val="Default"/>
        <w:rPr>
          <w:sz w:val="22"/>
          <w:szCs w:val="22"/>
        </w:rPr>
      </w:pPr>
    </w:p>
    <w:p w14:paraId="7C296DC7" w14:textId="77777777" w:rsidR="00AA5B49" w:rsidRPr="00AA5B49" w:rsidRDefault="00AA5B49" w:rsidP="00AA5B49">
      <w:pPr>
        <w:pStyle w:val="Default"/>
        <w:rPr>
          <w:sz w:val="22"/>
          <w:szCs w:val="22"/>
        </w:rPr>
      </w:pPr>
      <w:r w:rsidRPr="00AA5B49">
        <w:rPr>
          <w:b/>
          <w:bCs/>
          <w:sz w:val="22"/>
          <w:szCs w:val="22"/>
        </w:rPr>
        <w:t xml:space="preserve">Entsorgung über den Hausmüll </w:t>
      </w:r>
    </w:p>
    <w:p w14:paraId="5C655F81" w14:textId="34965272" w:rsidR="00AA5B49" w:rsidRDefault="00AA5B49" w:rsidP="00AA5B49">
      <w:pPr>
        <w:pStyle w:val="Default"/>
        <w:rPr>
          <w:sz w:val="22"/>
          <w:szCs w:val="22"/>
        </w:rPr>
      </w:pPr>
      <w:r w:rsidRPr="00AA5B49">
        <w:rPr>
          <w:sz w:val="22"/>
          <w:szCs w:val="22"/>
        </w:rPr>
        <w:t xml:space="preserve">Seit dem 1. Juni 2005 werden in Deutschland alte Medikamente zuerst in Müllverbrennungsanlagen verbrannt oder vorbehandelt und dadurch die enthaltenen Schadstoffe weitgehend zerstört. </w:t>
      </w:r>
    </w:p>
    <w:p w14:paraId="05E5BD14" w14:textId="77777777" w:rsidR="00D5157A" w:rsidRPr="00AA5B49" w:rsidRDefault="00D5157A" w:rsidP="00AA5B49">
      <w:pPr>
        <w:pStyle w:val="Default"/>
        <w:rPr>
          <w:sz w:val="22"/>
          <w:szCs w:val="22"/>
        </w:rPr>
      </w:pPr>
    </w:p>
    <w:p w14:paraId="049467F5" w14:textId="057E1656" w:rsidR="00AA5B49" w:rsidRDefault="00AA5B49" w:rsidP="00AA5B49">
      <w:pPr>
        <w:pStyle w:val="Default"/>
        <w:rPr>
          <w:sz w:val="22"/>
          <w:szCs w:val="22"/>
        </w:rPr>
      </w:pPr>
      <w:r w:rsidRPr="00AA5B49">
        <w:rPr>
          <w:sz w:val="22"/>
          <w:szCs w:val="22"/>
        </w:rPr>
        <w:t xml:space="preserve">• Flüssige Medikamente: Sorgfältig verschließen und in den Restmüll entsorgen </w:t>
      </w:r>
    </w:p>
    <w:p w14:paraId="512B9C36" w14:textId="77777777" w:rsidR="00D5157A" w:rsidRPr="00AA5B49" w:rsidRDefault="00D5157A" w:rsidP="00AA5B49">
      <w:pPr>
        <w:pStyle w:val="Default"/>
        <w:rPr>
          <w:sz w:val="22"/>
          <w:szCs w:val="22"/>
        </w:rPr>
      </w:pPr>
    </w:p>
    <w:p w14:paraId="4C64D687" w14:textId="77777777" w:rsidR="00AA5B49" w:rsidRPr="00AA5B49" w:rsidRDefault="00AA5B49" w:rsidP="00AA5B49">
      <w:pPr>
        <w:pStyle w:val="Default"/>
        <w:rPr>
          <w:sz w:val="22"/>
          <w:szCs w:val="22"/>
        </w:rPr>
      </w:pPr>
      <w:r w:rsidRPr="00AA5B49">
        <w:rPr>
          <w:sz w:val="22"/>
          <w:szCs w:val="22"/>
        </w:rPr>
        <w:t xml:space="preserve">• Arzneimittel so entsorgen, dass eine Gefährdung von Kindern, Dritten sowie die Wiedergewinnung der Arzneimittel für Unbefugte ausgeschlossen ist. </w:t>
      </w:r>
    </w:p>
    <w:p w14:paraId="5386DF8B" w14:textId="77777777" w:rsidR="00AA5B49" w:rsidRPr="00AA5B49" w:rsidRDefault="00AA5B49" w:rsidP="00AA5B49">
      <w:pPr>
        <w:pStyle w:val="Default"/>
        <w:rPr>
          <w:sz w:val="22"/>
          <w:szCs w:val="22"/>
        </w:rPr>
      </w:pPr>
    </w:p>
    <w:p w14:paraId="783AC3EA" w14:textId="77FBDCD2" w:rsidR="00AA5B49" w:rsidRPr="00AA5B49" w:rsidRDefault="00AA5B49" w:rsidP="00AA5B49">
      <w:pPr>
        <w:pStyle w:val="Default"/>
        <w:rPr>
          <w:sz w:val="22"/>
          <w:szCs w:val="22"/>
        </w:rPr>
      </w:pPr>
      <w:r w:rsidRPr="00AA5B49">
        <w:rPr>
          <w:sz w:val="22"/>
          <w:szCs w:val="22"/>
        </w:rPr>
        <w:t xml:space="preserve">• Arzneimittel </w:t>
      </w:r>
      <w:r w:rsidRPr="00AA5B49">
        <w:rPr>
          <w:b/>
          <w:bCs/>
          <w:sz w:val="22"/>
          <w:szCs w:val="22"/>
        </w:rPr>
        <w:t xml:space="preserve">nie </w:t>
      </w:r>
      <w:r w:rsidRPr="00AA5B49">
        <w:rPr>
          <w:sz w:val="22"/>
          <w:szCs w:val="22"/>
        </w:rPr>
        <w:t>in Toilette, Waschbecken</w:t>
      </w:r>
      <w:r>
        <w:rPr>
          <w:sz w:val="22"/>
          <w:szCs w:val="22"/>
        </w:rPr>
        <w:t xml:space="preserve"> oder</w:t>
      </w:r>
      <w:r w:rsidRPr="00AA5B49">
        <w:rPr>
          <w:sz w:val="22"/>
          <w:szCs w:val="22"/>
        </w:rPr>
        <w:t xml:space="preserve"> Spüle entsorgen, da Kläranlagen nicht alle im Abwasser enthaltenen Substanzen herausfiltern können. Dies belastet sonst in hohem Maße das Grundwasser. </w:t>
      </w:r>
    </w:p>
    <w:p w14:paraId="017AE1D8" w14:textId="77777777" w:rsidR="00AA5B49" w:rsidRPr="00AA5B49" w:rsidRDefault="00AA5B49" w:rsidP="00AA5B49">
      <w:pPr>
        <w:pStyle w:val="Default"/>
        <w:rPr>
          <w:sz w:val="22"/>
          <w:szCs w:val="22"/>
        </w:rPr>
      </w:pPr>
    </w:p>
    <w:p w14:paraId="6236DC6E" w14:textId="14534C38" w:rsidR="00AA5B49" w:rsidRDefault="00AA5B49" w:rsidP="00AA5B49">
      <w:pPr>
        <w:pStyle w:val="Default"/>
        <w:rPr>
          <w:sz w:val="22"/>
          <w:szCs w:val="22"/>
        </w:rPr>
      </w:pPr>
      <w:r w:rsidRPr="00AA5B49">
        <w:rPr>
          <w:b/>
          <w:bCs/>
          <w:sz w:val="22"/>
          <w:szCs w:val="22"/>
        </w:rPr>
        <w:t xml:space="preserve">Arznei-Sondermüll ist klima- und grundwasserschädlich </w:t>
      </w:r>
      <w:r w:rsidRPr="00AA5B49">
        <w:rPr>
          <w:sz w:val="22"/>
          <w:szCs w:val="22"/>
        </w:rPr>
        <w:t xml:space="preserve">und muss daher einem Schadstoffmobil, dem städtischen Gewerbehof oder einem Recyclinghof übergeben werden. </w:t>
      </w:r>
    </w:p>
    <w:p w14:paraId="5A9FB16C" w14:textId="77777777" w:rsidR="00AA5B49" w:rsidRPr="00AA5B49" w:rsidRDefault="00AA5B49" w:rsidP="00AA5B49">
      <w:pPr>
        <w:pStyle w:val="Default"/>
        <w:rPr>
          <w:sz w:val="22"/>
          <w:szCs w:val="22"/>
        </w:rPr>
      </w:pPr>
    </w:p>
    <w:p w14:paraId="6DB3544E" w14:textId="77777777" w:rsidR="00AA5B49" w:rsidRPr="00D5157A" w:rsidRDefault="00AA5B49" w:rsidP="00AA5B49">
      <w:pPr>
        <w:pStyle w:val="Default"/>
        <w:rPr>
          <w:b/>
          <w:sz w:val="22"/>
          <w:szCs w:val="22"/>
        </w:rPr>
      </w:pPr>
      <w:r w:rsidRPr="00D5157A">
        <w:rPr>
          <w:b/>
          <w:sz w:val="22"/>
          <w:szCs w:val="22"/>
        </w:rPr>
        <w:t xml:space="preserve">Dazu gehören: </w:t>
      </w:r>
    </w:p>
    <w:p w14:paraId="13B632AB" w14:textId="77777777" w:rsidR="00AA5B49" w:rsidRPr="00AA5B49" w:rsidRDefault="00AA5B49" w:rsidP="00AA5B49">
      <w:pPr>
        <w:pStyle w:val="Default"/>
        <w:spacing w:after="46"/>
        <w:rPr>
          <w:sz w:val="22"/>
          <w:szCs w:val="22"/>
        </w:rPr>
      </w:pPr>
      <w:r w:rsidRPr="00AA5B49">
        <w:rPr>
          <w:sz w:val="22"/>
          <w:szCs w:val="22"/>
        </w:rPr>
        <w:t xml:space="preserve">• Asthma/COPD-Dosieraerosole (enthalten klimaschädliche Treibmittel) </w:t>
      </w:r>
    </w:p>
    <w:p w14:paraId="4FC28730" w14:textId="5EA18668" w:rsidR="00AA5B49" w:rsidRPr="00AA5B49" w:rsidRDefault="00AA5B49" w:rsidP="00AA5B49">
      <w:pPr>
        <w:pStyle w:val="Default"/>
        <w:spacing w:after="46"/>
        <w:rPr>
          <w:sz w:val="22"/>
          <w:szCs w:val="22"/>
        </w:rPr>
      </w:pPr>
      <w:r w:rsidRPr="00AA5B49">
        <w:rPr>
          <w:sz w:val="22"/>
          <w:szCs w:val="22"/>
        </w:rPr>
        <w:t xml:space="preserve">• Zytostatika/Chemotherapeutika (flüssig und fest) </w:t>
      </w:r>
    </w:p>
    <w:p w14:paraId="74C917B2" w14:textId="77777777" w:rsidR="00AA5B49" w:rsidRPr="00AA5B49" w:rsidRDefault="00AA5B49" w:rsidP="00AA5B49">
      <w:pPr>
        <w:pStyle w:val="Default"/>
        <w:rPr>
          <w:sz w:val="22"/>
          <w:szCs w:val="22"/>
        </w:rPr>
      </w:pPr>
      <w:r w:rsidRPr="00AA5B49">
        <w:rPr>
          <w:sz w:val="22"/>
          <w:szCs w:val="22"/>
        </w:rPr>
        <w:t xml:space="preserve">• Sonstige Chemikalien aller Art </w:t>
      </w:r>
    </w:p>
    <w:p w14:paraId="619F1102" w14:textId="77777777" w:rsidR="00AA5B49" w:rsidRPr="00AA5B49" w:rsidRDefault="00AA5B49" w:rsidP="00AA5B49">
      <w:pPr>
        <w:pStyle w:val="Default"/>
        <w:rPr>
          <w:sz w:val="22"/>
          <w:szCs w:val="22"/>
        </w:rPr>
      </w:pPr>
    </w:p>
    <w:p w14:paraId="2E5C519E" w14:textId="77777777" w:rsidR="00AA5B49" w:rsidRPr="00AA5B49" w:rsidRDefault="00AA5B49" w:rsidP="00AA5B49">
      <w:pPr>
        <w:pStyle w:val="Default"/>
        <w:rPr>
          <w:sz w:val="22"/>
          <w:szCs w:val="22"/>
        </w:rPr>
      </w:pPr>
      <w:r w:rsidRPr="00AA5B49">
        <w:rPr>
          <w:b/>
          <w:bCs/>
          <w:sz w:val="22"/>
          <w:szCs w:val="22"/>
        </w:rPr>
        <w:t xml:space="preserve">Entsorgung durch Apotheken </w:t>
      </w:r>
    </w:p>
    <w:p w14:paraId="26B3F6B6" w14:textId="3B66551A" w:rsidR="00AA5B49" w:rsidRDefault="00AA5B49" w:rsidP="00AA5B49">
      <w:pPr>
        <w:pStyle w:val="Default"/>
        <w:rPr>
          <w:sz w:val="22"/>
          <w:szCs w:val="22"/>
        </w:rPr>
      </w:pPr>
      <w:r w:rsidRPr="00AA5B49">
        <w:rPr>
          <w:sz w:val="22"/>
          <w:szCs w:val="22"/>
        </w:rPr>
        <w:t xml:space="preserve">Apotheken sind rechtlich nicht verpflichtet, Medikamente zurückzunehmen. Allerdings bieten sie oftmals als freiwillige Serviceleistung eine Rücknahme von Altmedikamenten an. </w:t>
      </w:r>
    </w:p>
    <w:p w14:paraId="5FDB8A41" w14:textId="77777777" w:rsidR="00AA5B49" w:rsidRPr="00AA5B49" w:rsidRDefault="00AA5B49" w:rsidP="00AA5B49">
      <w:pPr>
        <w:pStyle w:val="Default"/>
        <w:rPr>
          <w:sz w:val="22"/>
          <w:szCs w:val="22"/>
        </w:rPr>
      </w:pPr>
    </w:p>
    <w:p w14:paraId="610C7590" w14:textId="77777777" w:rsidR="00AA5B49" w:rsidRPr="00AA5B49" w:rsidRDefault="00AA5B49" w:rsidP="00AA5B49">
      <w:pPr>
        <w:pStyle w:val="Default"/>
        <w:rPr>
          <w:sz w:val="22"/>
          <w:szCs w:val="22"/>
        </w:rPr>
      </w:pPr>
      <w:r w:rsidRPr="00AA5B49">
        <w:rPr>
          <w:b/>
          <w:bCs/>
          <w:sz w:val="22"/>
          <w:szCs w:val="22"/>
        </w:rPr>
        <w:t xml:space="preserve">Entsorgung durch die Gemeinde </w:t>
      </w:r>
    </w:p>
    <w:p w14:paraId="36070029" w14:textId="77777777" w:rsidR="00AA5B49" w:rsidRPr="00AA5B49" w:rsidRDefault="00AA5B49" w:rsidP="00AA5B49">
      <w:pPr>
        <w:pStyle w:val="Default"/>
        <w:rPr>
          <w:sz w:val="22"/>
          <w:szCs w:val="22"/>
        </w:rPr>
      </w:pPr>
      <w:r w:rsidRPr="00AA5B49">
        <w:rPr>
          <w:sz w:val="22"/>
          <w:szCs w:val="22"/>
        </w:rPr>
        <w:t xml:space="preserve">Einige Städte und Gemeinden bieten neben der Hausmüllentsorgung weitere Möglichkeiten für eine Entsorgung von alten Arzneimitteln wie zum Beispiel „Medi-Tonnen“, Schadstoffsammelstellen oder Schadstoffmobile an. Auskünfte hierzu erteilt Ihnen Ihre Gemeinde. </w:t>
      </w:r>
    </w:p>
    <w:p w14:paraId="3792E1D1" w14:textId="18EDE612" w:rsidR="00D5157A" w:rsidRDefault="00AA5B49" w:rsidP="00AA5B49">
      <w:pPr>
        <w:rPr>
          <w:color w:val="FFFFFF"/>
        </w:rPr>
      </w:pPr>
      <w:r w:rsidRPr="00AA5B49">
        <w:rPr>
          <w:color w:val="FFFFFF"/>
        </w:rPr>
        <w:t>© Dr. med. Chris</w:t>
      </w:r>
    </w:p>
    <w:p w14:paraId="799FFD87" w14:textId="236F8C5E" w:rsidR="00D5157A" w:rsidRDefault="00D5157A" w:rsidP="00AA5B49">
      <w:r>
        <w:t>Vielen Dank für Ihren Beitrag zum Umweltschutz!</w:t>
      </w:r>
      <w:r>
        <w:tab/>
      </w:r>
      <w:r>
        <w:tab/>
      </w:r>
      <w:r>
        <w:tab/>
        <w:t>Ihr Praxisteam</w:t>
      </w:r>
    </w:p>
    <w:p w14:paraId="0968C758" w14:textId="13B4429A" w:rsidR="00156DBE" w:rsidRDefault="00156DBE" w:rsidP="00AA5B49"/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6"/>
        <w:gridCol w:w="1780"/>
        <w:gridCol w:w="1149"/>
        <w:gridCol w:w="2136"/>
        <w:gridCol w:w="2268"/>
      </w:tblGrid>
      <w:tr w:rsidR="005F0E46" w:rsidRPr="007831FB" w14:paraId="66CBA1BC" w14:textId="77777777" w:rsidTr="005F0E46"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272F9" w14:textId="7F504E64" w:rsidR="005F0E46" w:rsidRDefault="005F0E46" w:rsidP="00712EBE">
            <w:pPr>
              <w:spacing w:after="0"/>
              <w:rPr>
                <w:b/>
                <w:bCs/>
                <w:sz w:val="16"/>
                <w:szCs w:val="16"/>
              </w:rPr>
            </w:pPr>
            <w:r w:rsidRPr="007831FB">
              <w:rPr>
                <w:b/>
                <w:bCs/>
                <w:sz w:val="16"/>
                <w:szCs w:val="16"/>
              </w:rPr>
              <w:t>Erstellt von:</w:t>
            </w:r>
          </w:p>
          <w:p w14:paraId="46DC590D" w14:textId="77777777" w:rsidR="005F0E46" w:rsidRPr="007831FB" w:rsidRDefault="005F0E46" w:rsidP="00712EBE">
            <w:pPr>
              <w:spacing w:after="0"/>
              <w:rPr>
                <w:b/>
                <w:bCs/>
                <w:sz w:val="16"/>
                <w:szCs w:val="16"/>
              </w:rPr>
            </w:pPr>
          </w:p>
          <w:p w14:paraId="14217A60" w14:textId="77777777" w:rsidR="005F0E46" w:rsidRPr="007831FB" w:rsidRDefault="005F0E46" w:rsidP="00712EBE">
            <w:pPr>
              <w:spacing w:after="0"/>
              <w:rPr>
                <w:b/>
                <w:bCs/>
                <w:sz w:val="16"/>
                <w:szCs w:val="16"/>
              </w:rPr>
            </w:pPr>
            <w:r w:rsidRPr="007831FB">
              <w:rPr>
                <w:b/>
                <w:bCs/>
                <w:sz w:val="16"/>
                <w:szCs w:val="16"/>
              </w:rPr>
              <w:t>Datum: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06607" w14:textId="4A82CDA2" w:rsidR="005F0E46" w:rsidRDefault="005F0E46" w:rsidP="00712EBE">
            <w:pPr>
              <w:spacing w:after="0"/>
              <w:rPr>
                <w:b/>
                <w:bCs/>
                <w:sz w:val="16"/>
                <w:szCs w:val="16"/>
              </w:rPr>
            </w:pPr>
            <w:r w:rsidRPr="007831FB">
              <w:rPr>
                <w:b/>
                <w:bCs/>
                <w:sz w:val="16"/>
                <w:szCs w:val="16"/>
              </w:rPr>
              <w:t>Geprüft von:</w:t>
            </w:r>
          </w:p>
          <w:p w14:paraId="171798DF" w14:textId="77777777" w:rsidR="005F0E46" w:rsidRPr="007831FB" w:rsidRDefault="005F0E46" w:rsidP="00712EBE">
            <w:pPr>
              <w:spacing w:after="0"/>
              <w:rPr>
                <w:b/>
                <w:bCs/>
                <w:sz w:val="16"/>
                <w:szCs w:val="16"/>
              </w:rPr>
            </w:pPr>
          </w:p>
          <w:p w14:paraId="0436FA61" w14:textId="77777777" w:rsidR="005F0E46" w:rsidRPr="007831FB" w:rsidRDefault="005F0E46" w:rsidP="00712EBE">
            <w:pPr>
              <w:spacing w:after="0"/>
              <w:rPr>
                <w:b/>
                <w:bCs/>
                <w:sz w:val="16"/>
                <w:szCs w:val="16"/>
              </w:rPr>
            </w:pPr>
            <w:r w:rsidRPr="007831FB">
              <w:rPr>
                <w:b/>
                <w:bCs/>
                <w:sz w:val="16"/>
                <w:szCs w:val="16"/>
              </w:rPr>
              <w:t>Datum: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01AED" w14:textId="77777777" w:rsidR="005F0E46" w:rsidRPr="007831FB" w:rsidRDefault="005F0E46" w:rsidP="00712EBE">
            <w:pPr>
              <w:spacing w:after="0"/>
              <w:rPr>
                <w:b/>
                <w:bCs/>
                <w:sz w:val="16"/>
                <w:szCs w:val="16"/>
              </w:rPr>
            </w:pPr>
            <w:r w:rsidRPr="007831FB">
              <w:rPr>
                <w:b/>
                <w:bCs/>
                <w:sz w:val="16"/>
                <w:szCs w:val="16"/>
              </w:rPr>
              <w:t>Version: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262B9" w14:textId="63C30633" w:rsidR="005F0E46" w:rsidRDefault="005F0E46" w:rsidP="00712EBE">
            <w:pPr>
              <w:spacing w:after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Freigabe von:</w:t>
            </w:r>
          </w:p>
          <w:p w14:paraId="4BD1CBC3" w14:textId="77777777" w:rsidR="005F0E46" w:rsidRDefault="005F0E46" w:rsidP="00712EBE">
            <w:pPr>
              <w:spacing w:after="0"/>
              <w:rPr>
                <w:b/>
                <w:bCs/>
                <w:sz w:val="16"/>
                <w:szCs w:val="16"/>
              </w:rPr>
            </w:pPr>
          </w:p>
          <w:p w14:paraId="36B3411D" w14:textId="0BDCC858" w:rsidR="005F0E46" w:rsidRDefault="005F0E46" w:rsidP="00712EBE">
            <w:pPr>
              <w:spacing w:after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Datum: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5DF12" w14:textId="64053446" w:rsidR="005F0E46" w:rsidRPr="007831FB" w:rsidRDefault="005F0E46" w:rsidP="00712EBE">
            <w:pPr>
              <w:spacing w:after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Patienteninfo Entsorgung von Arzneimitteln.docx                 </w:t>
            </w:r>
            <w:r w:rsidRPr="007831FB">
              <w:rPr>
                <w:b/>
                <w:bCs/>
                <w:sz w:val="16"/>
                <w:szCs w:val="16"/>
              </w:rPr>
              <w:t>Seiten:</w:t>
            </w:r>
            <w:r>
              <w:rPr>
                <w:b/>
                <w:bCs/>
                <w:sz w:val="16"/>
                <w:szCs w:val="16"/>
              </w:rPr>
              <w:t>1</w:t>
            </w:r>
          </w:p>
        </w:tc>
      </w:tr>
    </w:tbl>
    <w:p w14:paraId="2D088E3A" w14:textId="0C62A883" w:rsidR="00156DBE" w:rsidRDefault="00156DBE" w:rsidP="00156DBE">
      <w:pPr>
        <w:spacing w:line="360" w:lineRule="auto"/>
        <w:ind w:left="357" w:hanging="357"/>
      </w:pPr>
      <w:r w:rsidRPr="005D34E6">
        <w:rPr>
          <w:sz w:val="16"/>
          <w:szCs w:val="16"/>
        </w:rPr>
        <w:t>Version 1.2,</w:t>
      </w:r>
      <w:r>
        <w:rPr>
          <w:sz w:val="16"/>
          <w:szCs w:val="16"/>
        </w:rPr>
        <w:t>12</w:t>
      </w:r>
      <w:r w:rsidRPr="005D34E6">
        <w:rPr>
          <w:sz w:val="16"/>
          <w:szCs w:val="16"/>
        </w:rPr>
        <w:t xml:space="preserve">.01.26, Dr. </w:t>
      </w:r>
      <w:r w:rsidR="005F0E46">
        <w:rPr>
          <w:sz w:val="16"/>
          <w:szCs w:val="16"/>
        </w:rPr>
        <w:t xml:space="preserve">med. </w:t>
      </w:r>
      <w:bookmarkStart w:id="0" w:name="_GoBack"/>
      <w:bookmarkEnd w:id="0"/>
      <w:r w:rsidRPr="005D34E6">
        <w:rPr>
          <w:sz w:val="16"/>
          <w:szCs w:val="16"/>
        </w:rPr>
        <w:t>Christina Hecker</w:t>
      </w:r>
    </w:p>
    <w:p w14:paraId="056BDA4D" w14:textId="77777777" w:rsidR="00156DBE" w:rsidRPr="00D5157A" w:rsidRDefault="00156DBE" w:rsidP="00AA5B49"/>
    <w:sectPr w:rsidR="00156DBE" w:rsidRPr="00D5157A">
      <w:head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C0FA17" w14:textId="77777777" w:rsidR="0042428F" w:rsidRDefault="0042428F" w:rsidP="000976E7">
      <w:pPr>
        <w:spacing w:after="0" w:line="240" w:lineRule="auto"/>
      </w:pPr>
      <w:r>
        <w:separator/>
      </w:r>
    </w:p>
  </w:endnote>
  <w:endnote w:type="continuationSeparator" w:id="0">
    <w:p w14:paraId="0F02BC82" w14:textId="77777777" w:rsidR="0042428F" w:rsidRDefault="0042428F" w:rsidP="000976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F9B510" w14:textId="77777777" w:rsidR="0042428F" w:rsidRDefault="0042428F" w:rsidP="000976E7">
      <w:pPr>
        <w:spacing w:after="0" w:line="240" w:lineRule="auto"/>
      </w:pPr>
      <w:r>
        <w:separator/>
      </w:r>
    </w:p>
  </w:footnote>
  <w:footnote w:type="continuationSeparator" w:id="0">
    <w:p w14:paraId="3004C07D" w14:textId="77777777" w:rsidR="0042428F" w:rsidRDefault="0042428F" w:rsidP="000976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46D6C8" w14:textId="2718EAEA" w:rsidR="000976E7" w:rsidRPr="000976E7" w:rsidRDefault="000976E7" w:rsidP="000976E7">
    <w:pPr>
      <w:pStyle w:val="Kopfzeile"/>
      <w:jc w:val="center"/>
      <w:rPr>
        <w:b/>
      </w:rPr>
    </w:pPr>
    <w:r>
      <w:rPr>
        <w:b/>
      </w:rPr>
      <w:t>Patienteninfo</w:t>
    </w:r>
    <w:r w:rsidRPr="000976E7">
      <w:rPr>
        <w:b/>
      </w:rPr>
      <w:t xml:space="preserve"> Entsorgung von Arzneimitteln</w:t>
    </w:r>
  </w:p>
  <w:p w14:paraId="7242A2E5" w14:textId="77777777" w:rsidR="000976E7" w:rsidRDefault="000976E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E255CB"/>
    <w:multiLevelType w:val="hybridMultilevel"/>
    <w:tmpl w:val="F7DEADF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44A31989"/>
    <w:multiLevelType w:val="hybridMultilevel"/>
    <w:tmpl w:val="5C72EC8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73873B8D"/>
    <w:multiLevelType w:val="hybridMultilevel"/>
    <w:tmpl w:val="A05EE1D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7A3A9DA3"/>
    <w:multiLevelType w:val="hybridMultilevel"/>
    <w:tmpl w:val="80E3FB83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583"/>
    <w:rsid w:val="000976E7"/>
    <w:rsid w:val="00156DBE"/>
    <w:rsid w:val="00372907"/>
    <w:rsid w:val="0042428F"/>
    <w:rsid w:val="005F0E46"/>
    <w:rsid w:val="00642583"/>
    <w:rsid w:val="006D528F"/>
    <w:rsid w:val="00AA5B49"/>
    <w:rsid w:val="00D5157A"/>
    <w:rsid w:val="00F63255"/>
    <w:rsid w:val="00FF1F1E"/>
    <w:rsid w:val="00FF2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67D64"/>
  <w15:chartTrackingRefBased/>
  <w15:docId w15:val="{DCA8728F-F926-48D8-8DA4-74507466C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rsid w:val="00AA5B4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Absatz-Standardschriftart"/>
    <w:uiPriority w:val="99"/>
    <w:unhideWhenUsed/>
    <w:rsid w:val="00372907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72907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372907"/>
    <w:rPr>
      <w:color w:val="954F72" w:themeColor="followed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0976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976E7"/>
  </w:style>
  <w:style w:type="paragraph" w:styleId="Fuzeile">
    <w:name w:val="footer"/>
    <w:basedOn w:val="Standard"/>
    <w:link w:val="FuzeileZchn"/>
    <w:uiPriority w:val="99"/>
    <w:unhideWhenUsed/>
    <w:rsid w:val="000976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976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arzneimittelentsorgung.de/hom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315</Words>
  <Characters>1991</Characters>
  <Application>Microsoft Office Word</Application>
  <DocSecurity>0</DocSecurity>
  <Lines>16</Lines>
  <Paragraphs>4</Paragraphs>
  <ScaleCrop>false</ScaleCrop>
  <Company/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</dc:creator>
  <cp:keywords/>
  <dc:description/>
  <cp:lastModifiedBy>Christina</cp:lastModifiedBy>
  <cp:revision>8</cp:revision>
  <dcterms:created xsi:type="dcterms:W3CDTF">2026-01-12T14:47:00Z</dcterms:created>
  <dcterms:modified xsi:type="dcterms:W3CDTF">2026-01-14T19:50:00Z</dcterms:modified>
</cp:coreProperties>
</file>